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FC8" w:rsidRPr="00A4009B" w:rsidRDefault="008A5355" w:rsidP="00746355">
      <w:pPr>
        <w:pStyle w:val="Title"/>
        <w:spacing w:before="4200"/>
        <w:ind w:left="0"/>
        <w:rPr>
          <w:sz w:val="36"/>
          <w:szCs w:val="36"/>
        </w:rPr>
      </w:pPr>
      <w:bookmarkStart w:id="0" w:name="_GoBack"/>
      <w:bookmarkEnd w:id="0"/>
      <w:r>
        <w:rPr>
          <w:noProof/>
          <w:lang w:eastAsia="en-AU"/>
        </w:rPr>
        <w:drawing>
          <wp:anchor distT="0" distB="0" distL="114300" distR="114300" simplePos="0" relativeHeight="251660288" behindDoc="1" locked="0" layoutInCell="1" allowOverlap="1" wp14:anchorId="1790168A" wp14:editId="7740F8FF">
            <wp:simplePos x="0" y="0"/>
            <wp:positionH relativeFrom="column">
              <wp:posOffset>-176530</wp:posOffset>
            </wp:positionH>
            <wp:positionV relativeFrom="paragraph">
              <wp:posOffset>306705</wp:posOffset>
            </wp:positionV>
            <wp:extent cx="6207760" cy="6586220"/>
            <wp:effectExtent l="0" t="0" r="254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WO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7760" cy="6586220"/>
                    </a:xfrm>
                    <a:prstGeom prst="rect">
                      <a:avLst/>
                    </a:prstGeom>
                  </pic:spPr>
                </pic:pic>
              </a:graphicData>
            </a:graphic>
            <wp14:sizeRelH relativeFrom="page">
              <wp14:pctWidth>0</wp14:pctWidth>
            </wp14:sizeRelH>
            <wp14:sizeRelV relativeFrom="page">
              <wp14:pctHeight>0</wp14:pctHeight>
            </wp14:sizeRelV>
          </wp:anchor>
        </w:drawing>
      </w:r>
      <w:r w:rsidR="001B67FF" w:rsidRPr="00A4009B">
        <w:rPr>
          <w:sz w:val="36"/>
          <w:szCs w:val="36"/>
        </w:rPr>
        <w:t>Heavy Vehicle Road</w:t>
      </w:r>
      <w:r w:rsidR="00076FC8" w:rsidRPr="00A4009B">
        <w:rPr>
          <w:sz w:val="36"/>
          <w:szCs w:val="36"/>
        </w:rPr>
        <w:t xml:space="preserve"> Reform</w:t>
      </w:r>
    </w:p>
    <w:p w:rsidR="00A4009B" w:rsidRPr="00746355" w:rsidRDefault="00A4009B" w:rsidP="00746355">
      <w:pPr>
        <w:pStyle w:val="Subtitle"/>
        <w:spacing w:after="0"/>
        <w:ind w:left="0"/>
        <w:rPr>
          <w:b/>
          <w:i w:val="0"/>
          <w:spacing w:val="-12"/>
          <w:sz w:val="48"/>
          <w:szCs w:val="48"/>
        </w:rPr>
      </w:pPr>
      <w:bookmarkStart w:id="1" w:name="_Hlk517545738"/>
      <w:r w:rsidRPr="00746355">
        <w:rPr>
          <w:b/>
          <w:i w:val="0"/>
          <w:spacing w:val="-12"/>
          <w:sz w:val="48"/>
          <w:szCs w:val="48"/>
        </w:rPr>
        <w:t xml:space="preserve">Changes to heavy vehicle road </w:t>
      </w:r>
      <w:r w:rsidR="00746355" w:rsidRPr="00746355">
        <w:rPr>
          <w:b/>
          <w:i w:val="0"/>
          <w:spacing w:val="-12"/>
          <w:sz w:val="48"/>
          <w:szCs w:val="48"/>
        </w:rPr>
        <w:t>d</w:t>
      </w:r>
      <w:r w:rsidRPr="00746355">
        <w:rPr>
          <w:b/>
          <w:i w:val="0"/>
          <w:spacing w:val="-12"/>
          <w:sz w:val="48"/>
          <w:szCs w:val="48"/>
        </w:rPr>
        <w:t>elivery</w:t>
      </w:r>
      <w:bookmarkEnd w:id="1"/>
    </w:p>
    <w:p w:rsidR="00A4009B" w:rsidRPr="00A4009B" w:rsidRDefault="00A4009B" w:rsidP="00746355">
      <w:pPr>
        <w:pStyle w:val="Subtitle2"/>
        <w:spacing w:before="120" w:after="120"/>
        <w:ind w:left="0"/>
        <w:rPr>
          <w:rFonts w:ascii="Georgia" w:hAnsi="Georgia"/>
        </w:rPr>
      </w:pPr>
      <w:r w:rsidRPr="00A4009B">
        <w:rPr>
          <w:rFonts w:ascii="Georgia" w:hAnsi="Georgia"/>
        </w:rPr>
        <w:t>Background paper</w:t>
      </w:r>
    </w:p>
    <w:p w:rsidR="00076FC8" w:rsidRDefault="001B67FF" w:rsidP="00746355">
      <w:pPr>
        <w:pStyle w:val="Subtitle3"/>
        <w:spacing w:before="0"/>
        <w:ind w:left="0"/>
        <w:rPr>
          <w:rFonts w:ascii="Georgia" w:hAnsi="Georgia"/>
        </w:rPr>
      </w:pPr>
      <w:bookmarkStart w:id="2" w:name="_Toc472942585"/>
      <w:bookmarkStart w:id="3" w:name="_Toc473116986"/>
      <w:bookmarkStart w:id="4" w:name="_Toc473120945"/>
      <w:r w:rsidRPr="00A4009B">
        <w:rPr>
          <w:rFonts w:ascii="Georgia" w:hAnsi="Georgia"/>
        </w:rPr>
        <w:t>July</w:t>
      </w:r>
      <w:r w:rsidR="00FB7ADE" w:rsidRPr="00A4009B">
        <w:rPr>
          <w:rFonts w:ascii="Georgia" w:hAnsi="Georgia"/>
        </w:rPr>
        <w:t xml:space="preserve"> 201</w:t>
      </w:r>
      <w:bookmarkEnd w:id="2"/>
      <w:bookmarkEnd w:id="3"/>
      <w:bookmarkEnd w:id="4"/>
      <w:r w:rsidRPr="00A4009B">
        <w:rPr>
          <w:rFonts w:ascii="Georgia" w:hAnsi="Georgia"/>
        </w:rPr>
        <w:t>8</w:t>
      </w:r>
    </w:p>
    <w:p w:rsidR="00AD7BC5" w:rsidRDefault="00AD7BC5" w:rsidP="00DF52F5">
      <w:pPr>
        <w:rPr>
          <w:u w:color="548DD4"/>
        </w:rPr>
      </w:pPr>
    </w:p>
    <w:p w:rsidR="00AD7BC5" w:rsidRDefault="00AD7BC5" w:rsidP="00DF52F5">
      <w:pPr>
        <w:rPr>
          <w:u w:color="548DD4"/>
        </w:rPr>
      </w:pPr>
    </w:p>
    <w:p w:rsidR="00C82E5E" w:rsidRPr="00D34551" w:rsidRDefault="00AD7BC5" w:rsidP="00D34551">
      <w:pPr>
        <w:rPr>
          <w:rStyle w:val="Strong"/>
          <w:b w:val="0"/>
          <w:bCs w:val="0"/>
        </w:rPr>
      </w:pPr>
      <w:r>
        <w:rPr>
          <w:u w:color="548DD4"/>
        </w:rPr>
        <w:br w:type="page"/>
      </w:r>
    </w:p>
    <w:p w:rsidR="000306E2" w:rsidRDefault="000306E2" w:rsidP="000306E2">
      <w:pPr>
        <w:pStyle w:val="Heading1"/>
      </w:pPr>
      <w:r>
        <w:lastRenderedPageBreak/>
        <w:t>Purpose of this paper</w:t>
      </w:r>
    </w:p>
    <w:p w:rsidR="00A01ACB" w:rsidRDefault="00A27052" w:rsidP="00631B3E">
      <w:pPr>
        <w:spacing w:line="240" w:lineRule="auto"/>
        <w:jc w:val="both"/>
      </w:pPr>
      <w:r>
        <w:t>This paper</w:t>
      </w:r>
      <w:r w:rsidR="00A01ACB">
        <w:t xml:space="preserve"> provides background on reforms that </w:t>
      </w:r>
      <w:r w:rsidR="00F7071B">
        <w:t>the Commonwealth, State and Territory</w:t>
      </w:r>
      <w:r w:rsidR="00A01ACB">
        <w:t xml:space="preserve"> governments in Australia are pursuing to change the way that heavy vehicle road services are delivered. It seeks to explain what we are doing and why we are doing it, including an outline of what </w:t>
      </w:r>
      <w:r w:rsidR="00F7071B">
        <w:t>a reformed system</w:t>
      </w:r>
      <w:r w:rsidR="00A01ACB">
        <w:t xml:space="preserve"> might look like. </w:t>
      </w:r>
    </w:p>
    <w:p w:rsidR="00A27052" w:rsidRDefault="00A01ACB" w:rsidP="00631B3E">
      <w:pPr>
        <w:spacing w:line="240" w:lineRule="auto"/>
        <w:jc w:val="both"/>
        <w:rPr>
          <w:highlight w:val="yellow"/>
        </w:rPr>
      </w:pPr>
      <w:r>
        <w:t>It is intended that this background paper supplement other papers and proposals which are the subject of public consultation, by explaining how different elements of the proposed reforms fit within the bigger picture.</w:t>
      </w:r>
    </w:p>
    <w:p w:rsidR="00B1715C" w:rsidRDefault="00B1715C" w:rsidP="0050395C">
      <w:pPr>
        <w:pStyle w:val="BulletDot"/>
        <w:numPr>
          <w:ilvl w:val="0"/>
          <w:numId w:val="0"/>
        </w:numPr>
        <w:spacing w:before="120" w:after="120"/>
        <w:rPr>
          <w:rFonts w:asciiTheme="minorHAnsi" w:hAnsiTheme="minorHAnsi"/>
          <w:b/>
          <w:lang w:val="en-US"/>
        </w:rPr>
      </w:pPr>
    </w:p>
    <w:p w:rsidR="00963B38" w:rsidRDefault="00963B38" w:rsidP="000306E2">
      <w:pPr>
        <w:pStyle w:val="Heading1"/>
      </w:pPr>
    </w:p>
    <w:p w:rsidR="00A27052" w:rsidRPr="00CB1876" w:rsidRDefault="00CB1876" w:rsidP="000306E2">
      <w:pPr>
        <w:pStyle w:val="Heading1"/>
      </w:pPr>
      <w:r w:rsidRPr="00CB1876">
        <w:t>Table of contents</w:t>
      </w:r>
    </w:p>
    <w:p w:rsidR="00992E28" w:rsidRDefault="00963B38">
      <w:pPr>
        <w:pStyle w:val="TOC1"/>
        <w:tabs>
          <w:tab w:val="left" w:pos="480"/>
          <w:tab w:val="right" w:leader="dot" w:pos="9060"/>
        </w:tabs>
        <w:rPr>
          <w:rFonts w:eastAsiaTheme="minorEastAsia" w:cstheme="minorBidi"/>
          <w:b w:val="0"/>
          <w:bCs w:val="0"/>
          <w:noProof/>
          <w:sz w:val="22"/>
          <w:szCs w:val="22"/>
          <w:lang w:eastAsia="en-AU"/>
        </w:rPr>
      </w:pPr>
      <w:r w:rsidRPr="00256730">
        <w:rPr>
          <w:b w:val="0"/>
          <w:bCs w:val="0"/>
          <w:i/>
          <w:iCs/>
          <w:szCs w:val="24"/>
        </w:rPr>
        <w:fldChar w:fldCharType="begin"/>
      </w:r>
      <w:r w:rsidRPr="00256730">
        <w:rPr>
          <w:b w:val="0"/>
          <w:bCs w:val="0"/>
          <w:i/>
          <w:iCs/>
          <w:szCs w:val="24"/>
        </w:rPr>
        <w:instrText xml:space="preserve"> TOC \h \z \t "PP hdg 1,1,PP hdg 2,2" </w:instrText>
      </w:r>
      <w:r w:rsidRPr="00256730">
        <w:rPr>
          <w:b w:val="0"/>
          <w:bCs w:val="0"/>
          <w:i/>
          <w:iCs/>
          <w:szCs w:val="24"/>
        </w:rPr>
        <w:fldChar w:fldCharType="separate"/>
      </w:r>
      <w:hyperlink w:anchor="_Toc518908874" w:history="1">
        <w:r w:rsidR="00992E28" w:rsidRPr="00EA7786">
          <w:rPr>
            <w:rStyle w:val="Hyperlink"/>
            <w:noProof/>
          </w:rPr>
          <w:t>1.</w:t>
        </w:r>
        <w:r w:rsidR="00992E28">
          <w:rPr>
            <w:rFonts w:eastAsiaTheme="minorEastAsia" w:cstheme="minorBidi"/>
            <w:b w:val="0"/>
            <w:bCs w:val="0"/>
            <w:noProof/>
            <w:sz w:val="22"/>
            <w:szCs w:val="22"/>
            <w:lang w:eastAsia="en-AU"/>
          </w:rPr>
          <w:tab/>
        </w:r>
        <w:r w:rsidR="00992E28" w:rsidRPr="00EA7786">
          <w:rPr>
            <w:rStyle w:val="Hyperlink"/>
            <w:noProof/>
          </w:rPr>
          <w:t>Introduction: The need to act</w:t>
        </w:r>
        <w:r w:rsidR="00992E28">
          <w:rPr>
            <w:noProof/>
            <w:webHidden/>
          </w:rPr>
          <w:tab/>
        </w:r>
        <w:r w:rsidR="00992E28">
          <w:rPr>
            <w:noProof/>
            <w:webHidden/>
          </w:rPr>
          <w:fldChar w:fldCharType="begin"/>
        </w:r>
        <w:r w:rsidR="00992E28">
          <w:rPr>
            <w:noProof/>
            <w:webHidden/>
          </w:rPr>
          <w:instrText xml:space="preserve"> PAGEREF _Toc518908874 \h </w:instrText>
        </w:r>
        <w:r w:rsidR="00992E28">
          <w:rPr>
            <w:noProof/>
            <w:webHidden/>
          </w:rPr>
        </w:r>
        <w:r w:rsidR="00992E28">
          <w:rPr>
            <w:noProof/>
            <w:webHidden/>
          </w:rPr>
          <w:fldChar w:fldCharType="separate"/>
        </w:r>
        <w:r w:rsidR="00D34551">
          <w:rPr>
            <w:noProof/>
            <w:webHidden/>
          </w:rPr>
          <w:t>3</w:t>
        </w:r>
        <w:r w:rsidR="00992E28">
          <w:rPr>
            <w:noProof/>
            <w:webHidden/>
          </w:rPr>
          <w:fldChar w:fldCharType="end"/>
        </w:r>
      </w:hyperlink>
    </w:p>
    <w:p w:rsidR="00992E28" w:rsidRDefault="00DF5A41">
      <w:pPr>
        <w:pStyle w:val="TOC1"/>
        <w:tabs>
          <w:tab w:val="left" w:pos="480"/>
          <w:tab w:val="right" w:leader="dot" w:pos="9060"/>
        </w:tabs>
        <w:rPr>
          <w:rFonts w:eastAsiaTheme="minorEastAsia" w:cstheme="minorBidi"/>
          <w:b w:val="0"/>
          <w:bCs w:val="0"/>
          <w:noProof/>
          <w:sz w:val="22"/>
          <w:szCs w:val="22"/>
          <w:lang w:eastAsia="en-AU"/>
        </w:rPr>
      </w:pPr>
      <w:hyperlink w:anchor="_Toc518908875" w:history="1">
        <w:r w:rsidR="00992E28" w:rsidRPr="00EA7786">
          <w:rPr>
            <w:rStyle w:val="Hyperlink"/>
            <w:noProof/>
          </w:rPr>
          <w:t>2.</w:t>
        </w:r>
        <w:r w:rsidR="00992E28">
          <w:rPr>
            <w:rFonts w:eastAsiaTheme="minorEastAsia" w:cstheme="minorBidi"/>
            <w:b w:val="0"/>
            <w:bCs w:val="0"/>
            <w:noProof/>
            <w:sz w:val="22"/>
            <w:szCs w:val="22"/>
            <w:lang w:eastAsia="en-AU"/>
          </w:rPr>
          <w:tab/>
        </w:r>
        <w:r w:rsidR="00992E28" w:rsidRPr="00EA7786">
          <w:rPr>
            <w:rStyle w:val="Hyperlink"/>
            <w:noProof/>
          </w:rPr>
          <w:t>Heavy vehicle investment and charging: The starting point for reform</w:t>
        </w:r>
        <w:r w:rsidR="00992E28">
          <w:rPr>
            <w:noProof/>
            <w:webHidden/>
          </w:rPr>
          <w:tab/>
        </w:r>
        <w:r w:rsidR="00992E28">
          <w:rPr>
            <w:noProof/>
            <w:webHidden/>
          </w:rPr>
          <w:fldChar w:fldCharType="begin"/>
        </w:r>
        <w:r w:rsidR="00992E28">
          <w:rPr>
            <w:noProof/>
            <w:webHidden/>
          </w:rPr>
          <w:instrText xml:space="preserve"> PAGEREF _Toc518908875 \h </w:instrText>
        </w:r>
        <w:r w:rsidR="00992E28">
          <w:rPr>
            <w:noProof/>
            <w:webHidden/>
          </w:rPr>
        </w:r>
        <w:r w:rsidR="00992E28">
          <w:rPr>
            <w:noProof/>
            <w:webHidden/>
          </w:rPr>
          <w:fldChar w:fldCharType="separate"/>
        </w:r>
        <w:r w:rsidR="00D34551">
          <w:rPr>
            <w:noProof/>
            <w:webHidden/>
          </w:rPr>
          <w:t>4</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76" w:history="1">
        <w:r w:rsidR="00992E28" w:rsidRPr="00EA7786">
          <w:rPr>
            <w:rStyle w:val="Hyperlink"/>
            <w:noProof/>
          </w:rPr>
          <w:t>Our current system</w:t>
        </w:r>
        <w:r w:rsidR="00992E28">
          <w:rPr>
            <w:noProof/>
            <w:webHidden/>
          </w:rPr>
          <w:tab/>
        </w:r>
        <w:r w:rsidR="00992E28">
          <w:rPr>
            <w:noProof/>
            <w:webHidden/>
          </w:rPr>
          <w:fldChar w:fldCharType="begin"/>
        </w:r>
        <w:r w:rsidR="00992E28">
          <w:rPr>
            <w:noProof/>
            <w:webHidden/>
          </w:rPr>
          <w:instrText xml:space="preserve"> PAGEREF _Toc518908876 \h </w:instrText>
        </w:r>
        <w:r w:rsidR="00992E28">
          <w:rPr>
            <w:noProof/>
            <w:webHidden/>
          </w:rPr>
        </w:r>
        <w:r w:rsidR="00992E28">
          <w:rPr>
            <w:noProof/>
            <w:webHidden/>
          </w:rPr>
          <w:fldChar w:fldCharType="separate"/>
        </w:r>
        <w:r w:rsidR="00D34551">
          <w:rPr>
            <w:noProof/>
            <w:webHidden/>
          </w:rPr>
          <w:t>5</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77" w:history="1">
        <w:r w:rsidR="00992E28" w:rsidRPr="00EA7786">
          <w:rPr>
            <w:rStyle w:val="Hyperlink"/>
            <w:noProof/>
          </w:rPr>
          <w:t>The response: Heavy Vehicle Road Reform</w:t>
        </w:r>
        <w:r w:rsidR="00992E28">
          <w:rPr>
            <w:noProof/>
            <w:webHidden/>
          </w:rPr>
          <w:tab/>
        </w:r>
        <w:r w:rsidR="00992E28">
          <w:rPr>
            <w:noProof/>
            <w:webHidden/>
          </w:rPr>
          <w:fldChar w:fldCharType="begin"/>
        </w:r>
        <w:r w:rsidR="00992E28">
          <w:rPr>
            <w:noProof/>
            <w:webHidden/>
          </w:rPr>
          <w:instrText xml:space="preserve"> PAGEREF _Toc518908877 \h </w:instrText>
        </w:r>
        <w:r w:rsidR="00992E28">
          <w:rPr>
            <w:noProof/>
            <w:webHidden/>
          </w:rPr>
        </w:r>
        <w:r w:rsidR="00992E28">
          <w:rPr>
            <w:noProof/>
            <w:webHidden/>
          </w:rPr>
          <w:fldChar w:fldCharType="separate"/>
        </w:r>
        <w:r w:rsidR="00D34551">
          <w:rPr>
            <w:noProof/>
            <w:webHidden/>
          </w:rPr>
          <w:t>6</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78" w:history="1">
        <w:r w:rsidR="00992E28" w:rsidRPr="00EA7786">
          <w:rPr>
            <w:rStyle w:val="Hyperlink"/>
            <w:noProof/>
          </w:rPr>
          <w:t>Principles of Heavy Vehicle Road Reform</w:t>
        </w:r>
        <w:r w:rsidR="00992E28">
          <w:rPr>
            <w:noProof/>
            <w:webHidden/>
          </w:rPr>
          <w:tab/>
        </w:r>
        <w:r w:rsidR="00992E28">
          <w:rPr>
            <w:noProof/>
            <w:webHidden/>
          </w:rPr>
          <w:fldChar w:fldCharType="begin"/>
        </w:r>
        <w:r w:rsidR="00992E28">
          <w:rPr>
            <w:noProof/>
            <w:webHidden/>
          </w:rPr>
          <w:instrText xml:space="preserve"> PAGEREF _Toc518908878 \h </w:instrText>
        </w:r>
        <w:r w:rsidR="00992E28">
          <w:rPr>
            <w:noProof/>
            <w:webHidden/>
          </w:rPr>
        </w:r>
        <w:r w:rsidR="00992E28">
          <w:rPr>
            <w:noProof/>
            <w:webHidden/>
          </w:rPr>
          <w:fldChar w:fldCharType="separate"/>
        </w:r>
        <w:r w:rsidR="00D34551">
          <w:rPr>
            <w:noProof/>
            <w:webHidden/>
          </w:rPr>
          <w:t>6</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79" w:history="1">
        <w:r w:rsidR="00992E28" w:rsidRPr="00EA7786">
          <w:rPr>
            <w:rStyle w:val="Hyperlink"/>
            <w:noProof/>
          </w:rPr>
          <w:t>Elements needed to realise Heavy Vehicle Road Reform</w:t>
        </w:r>
        <w:r w:rsidR="00992E28">
          <w:rPr>
            <w:noProof/>
            <w:webHidden/>
          </w:rPr>
          <w:tab/>
        </w:r>
        <w:r w:rsidR="00992E28">
          <w:rPr>
            <w:noProof/>
            <w:webHidden/>
          </w:rPr>
          <w:fldChar w:fldCharType="begin"/>
        </w:r>
        <w:r w:rsidR="00992E28">
          <w:rPr>
            <w:noProof/>
            <w:webHidden/>
          </w:rPr>
          <w:instrText xml:space="preserve"> PAGEREF _Toc518908879 \h </w:instrText>
        </w:r>
        <w:r w:rsidR="00992E28">
          <w:rPr>
            <w:noProof/>
            <w:webHidden/>
          </w:rPr>
        </w:r>
        <w:r w:rsidR="00992E28">
          <w:rPr>
            <w:noProof/>
            <w:webHidden/>
          </w:rPr>
          <w:fldChar w:fldCharType="separate"/>
        </w:r>
        <w:r w:rsidR="00D34551">
          <w:rPr>
            <w:noProof/>
            <w:webHidden/>
          </w:rPr>
          <w:t>7</w:t>
        </w:r>
        <w:r w:rsidR="00992E28">
          <w:rPr>
            <w:noProof/>
            <w:webHidden/>
          </w:rPr>
          <w:fldChar w:fldCharType="end"/>
        </w:r>
      </w:hyperlink>
    </w:p>
    <w:p w:rsidR="00992E28" w:rsidRDefault="00DF5A41">
      <w:pPr>
        <w:pStyle w:val="TOC1"/>
        <w:tabs>
          <w:tab w:val="left" w:pos="480"/>
          <w:tab w:val="right" w:leader="dot" w:pos="9060"/>
        </w:tabs>
        <w:rPr>
          <w:rFonts w:eastAsiaTheme="minorEastAsia" w:cstheme="minorBidi"/>
          <w:b w:val="0"/>
          <w:bCs w:val="0"/>
          <w:noProof/>
          <w:sz w:val="22"/>
          <w:szCs w:val="22"/>
          <w:lang w:eastAsia="en-AU"/>
        </w:rPr>
      </w:pPr>
      <w:hyperlink w:anchor="_Toc518908880" w:history="1">
        <w:r w:rsidR="00992E28" w:rsidRPr="00EA7786">
          <w:rPr>
            <w:rStyle w:val="Hyperlink"/>
            <w:noProof/>
          </w:rPr>
          <w:t>3.</w:t>
        </w:r>
        <w:r w:rsidR="00992E28">
          <w:rPr>
            <w:rFonts w:eastAsiaTheme="minorEastAsia" w:cstheme="minorBidi"/>
            <w:b w:val="0"/>
            <w:bCs w:val="0"/>
            <w:noProof/>
            <w:sz w:val="22"/>
            <w:szCs w:val="22"/>
            <w:lang w:eastAsia="en-AU"/>
          </w:rPr>
          <w:tab/>
        </w:r>
        <w:r w:rsidR="00992E28" w:rsidRPr="00EA7786">
          <w:rPr>
            <w:rStyle w:val="Hyperlink"/>
            <w:noProof/>
          </w:rPr>
          <w:t>What could a new system look like?</w:t>
        </w:r>
        <w:r w:rsidR="00992E28">
          <w:rPr>
            <w:noProof/>
            <w:webHidden/>
          </w:rPr>
          <w:tab/>
        </w:r>
        <w:r w:rsidR="00992E28">
          <w:rPr>
            <w:noProof/>
            <w:webHidden/>
          </w:rPr>
          <w:fldChar w:fldCharType="begin"/>
        </w:r>
        <w:r w:rsidR="00992E28">
          <w:rPr>
            <w:noProof/>
            <w:webHidden/>
          </w:rPr>
          <w:instrText xml:space="preserve"> PAGEREF _Toc518908880 \h </w:instrText>
        </w:r>
        <w:r w:rsidR="00992E28">
          <w:rPr>
            <w:noProof/>
            <w:webHidden/>
          </w:rPr>
        </w:r>
        <w:r w:rsidR="00992E28">
          <w:rPr>
            <w:noProof/>
            <w:webHidden/>
          </w:rPr>
          <w:fldChar w:fldCharType="separate"/>
        </w:r>
        <w:r w:rsidR="00D34551">
          <w:rPr>
            <w:noProof/>
            <w:webHidden/>
          </w:rPr>
          <w:t>7</w:t>
        </w:r>
        <w:r w:rsidR="00992E28">
          <w:rPr>
            <w:noProof/>
            <w:webHidden/>
          </w:rPr>
          <w:fldChar w:fldCharType="end"/>
        </w:r>
      </w:hyperlink>
    </w:p>
    <w:p w:rsidR="00992E28" w:rsidRDefault="00DF5A41">
      <w:pPr>
        <w:pStyle w:val="TOC1"/>
        <w:tabs>
          <w:tab w:val="left" w:pos="480"/>
          <w:tab w:val="right" w:leader="dot" w:pos="9060"/>
        </w:tabs>
        <w:rPr>
          <w:rFonts w:eastAsiaTheme="minorEastAsia" w:cstheme="minorBidi"/>
          <w:b w:val="0"/>
          <w:bCs w:val="0"/>
          <w:noProof/>
          <w:sz w:val="22"/>
          <w:szCs w:val="22"/>
          <w:lang w:eastAsia="en-AU"/>
        </w:rPr>
      </w:pPr>
      <w:hyperlink w:anchor="_Toc518908881" w:history="1">
        <w:r w:rsidR="00992E28" w:rsidRPr="00EA7786">
          <w:rPr>
            <w:rStyle w:val="Hyperlink"/>
            <w:noProof/>
          </w:rPr>
          <w:t>4.</w:t>
        </w:r>
        <w:r w:rsidR="00992E28">
          <w:rPr>
            <w:rFonts w:eastAsiaTheme="minorEastAsia" w:cstheme="minorBidi"/>
            <w:b w:val="0"/>
            <w:bCs w:val="0"/>
            <w:noProof/>
            <w:sz w:val="22"/>
            <w:szCs w:val="22"/>
            <w:lang w:eastAsia="en-AU"/>
          </w:rPr>
          <w:tab/>
        </w:r>
        <w:r w:rsidR="00992E28" w:rsidRPr="00EA7786">
          <w:rPr>
            <w:rStyle w:val="Hyperlink"/>
            <w:noProof/>
          </w:rPr>
          <w:t>Heavy vehicle road reform: Road map and progress to date</w:t>
        </w:r>
        <w:r w:rsidR="00992E28">
          <w:rPr>
            <w:noProof/>
            <w:webHidden/>
          </w:rPr>
          <w:tab/>
        </w:r>
        <w:r w:rsidR="00992E28">
          <w:rPr>
            <w:noProof/>
            <w:webHidden/>
          </w:rPr>
          <w:fldChar w:fldCharType="begin"/>
        </w:r>
        <w:r w:rsidR="00992E28">
          <w:rPr>
            <w:noProof/>
            <w:webHidden/>
          </w:rPr>
          <w:instrText xml:space="preserve"> PAGEREF _Toc518908881 \h </w:instrText>
        </w:r>
        <w:r w:rsidR="00992E28">
          <w:rPr>
            <w:noProof/>
            <w:webHidden/>
          </w:rPr>
        </w:r>
        <w:r w:rsidR="00992E28">
          <w:rPr>
            <w:noProof/>
            <w:webHidden/>
          </w:rPr>
          <w:fldChar w:fldCharType="separate"/>
        </w:r>
        <w:r w:rsidR="00D34551">
          <w:rPr>
            <w:noProof/>
            <w:webHidden/>
          </w:rPr>
          <w:t>8</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82" w:history="1">
        <w:r w:rsidR="00992E28" w:rsidRPr="00EA7786">
          <w:rPr>
            <w:rStyle w:val="Hyperlink"/>
            <w:noProof/>
          </w:rPr>
          <w:t>The HVRR road map</w:t>
        </w:r>
        <w:r w:rsidR="00992E28">
          <w:rPr>
            <w:noProof/>
            <w:webHidden/>
          </w:rPr>
          <w:tab/>
        </w:r>
        <w:r w:rsidR="00992E28">
          <w:rPr>
            <w:noProof/>
            <w:webHidden/>
          </w:rPr>
          <w:fldChar w:fldCharType="begin"/>
        </w:r>
        <w:r w:rsidR="00992E28">
          <w:rPr>
            <w:noProof/>
            <w:webHidden/>
          </w:rPr>
          <w:instrText xml:space="preserve"> PAGEREF _Toc518908882 \h </w:instrText>
        </w:r>
        <w:r w:rsidR="00992E28">
          <w:rPr>
            <w:noProof/>
            <w:webHidden/>
          </w:rPr>
        </w:r>
        <w:r w:rsidR="00992E28">
          <w:rPr>
            <w:noProof/>
            <w:webHidden/>
          </w:rPr>
          <w:fldChar w:fldCharType="separate"/>
        </w:r>
        <w:r w:rsidR="00D34551">
          <w:rPr>
            <w:noProof/>
            <w:webHidden/>
          </w:rPr>
          <w:t>8</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83" w:history="1">
        <w:r w:rsidR="00992E28" w:rsidRPr="00EA7786">
          <w:rPr>
            <w:rStyle w:val="Hyperlink"/>
            <w:noProof/>
          </w:rPr>
          <w:t>Progress on reform to date</w:t>
        </w:r>
        <w:r w:rsidR="00992E28">
          <w:rPr>
            <w:noProof/>
            <w:webHidden/>
          </w:rPr>
          <w:tab/>
        </w:r>
        <w:r w:rsidR="00992E28">
          <w:rPr>
            <w:noProof/>
            <w:webHidden/>
          </w:rPr>
          <w:fldChar w:fldCharType="begin"/>
        </w:r>
        <w:r w:rsidR="00992E28">
          <w:rPr>
            <w:noProof/>
            <w:webHidden/>
          </w:rPr>
          <w:instrText xml:space="preserve"> PAGEREF _Toc518908883 \h </w:instrText>
        </w:r>
        <w:r w:rsidR="00992E28">
          <w:rPr>
            <w:noProof/>
            <w:webHidden/>
          </w:rPr>
        </w:r>
        <w:r w:rsidR="00992E28">
          <w:rPr>
            <w:noProof/>
            <w:webHidden/>
          </w:rPr>
          <w:fldChar w:fldCharType="separate"/>
        </w:r>
        <w:r w:rsidR="00D34551">
          <w:rPr>
            <w:noProof/>
            <w:webHidden/>
          </w:rPr>
          <w:t>9</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84" w:history="1">
        <w:r w:rsidR="00992E28" w:rsidRPr="00EA7786">
          <w:rPr>
            <w:rStyle w:val="Hyperlink"/>
            <w:noProof/>
          </w:rPr>
          <w:t>Independent price regulation and a forward-looking cost base</w:t>
        </w:r>
        <w:r w:rsidR="00992E28">
          <w:rPr>
            <w:noProof/>
            <w:webHidden/>
          </w:rPr>
          <w:tab/>
        </w:r>
        <w:r w:rsidR="00992E28">
          <w:rPr>
            <w:noProof/>
            <w:webHidden/>
          </w:rPr>
          <w:fldChar w:fldCharType="begin"/>
        </w:r>
        <w:r w:rsidR="00992E28">
          <w:rPr>
            <w:noProof/>
            <w:webHidden/>
          </w:rPr>
          <w:instrText xml:space="preserve"> PAGEREF _Toc518908884 \h </w:instrText>
        </w:r>
        <w:r w:rsidR="00992E28">
          <w:rPr>
            <w:noProof/>
            <w:webHidden/>
          </w:rPr>
        </w:r>
        <w:r w:rsidR="00992E28">
          <w:rPr>
            <w:noProof/>
            <w:webHidden/>
          </w:rPr>
          <w:fldChar w:fldCharType="separate"/>
        </w:r>
        <w:r w:rsidR="00D34551">
          <w:rPr>
            <w:noProof/>
            <w:webHidden/>
          </w:rPr>
          <w:t>10</w:t>
        </w:r>
        <w:r w:rsidR="00992E28">
          <w:rPr>
            <w:noProof/>
            <w:webHidden/>
          </w:rPr>
          <w:fldChar w:fldCharType="end"/>
        </w:r>
      </w:hyperlink>
    </w:p>
    <w:p w:rsidR="00992E28" w:rsidRDefault="00DF5A41">
      <w:pPr>
        <w:pStyle w:val="TOC2"/>
        <w:tabs>
          <w:tab w:val="right" w:leader="dot" w:pos="9060"/>
        </w:tabs>
        <w:rPr>
          <w:rFonts w:eastAsiaTheme="minorEastAsia" w:cstheme="minorBidi"/>
          <w:i w:val="0"/>
          <w:iCs w:val="0"/>
          <w:noProof/>
          <w:sz w:val="22"/>
          <w:szCs w:val="22"/>
          <w:lang w:eastAsia="en-AU"/>
        </w:rPr>
      </w:pPr>
      <w:hyperlink w:anchor="_Toc518908885" w:history="1">
        <w:r w:rsidR="00992E28" w:rsidRPr="00EA7786">
          <w:rPr>
            <w:rStyle w:val="Hyperlink"/>
            <w:noProof/>
          </w:rPr>
          <w:t>National Heavy Vehicle Charging Pilot</w:t>
        </w:r>
        <w:r w:rsidR="00992E28">
          <w:rPr>
            <w:noProof/>
            <w:webHidden/>
          </w:rPr>
          <w:tab/>
        </w:r>
        <w:r w:rsidR="00992E28">
          <w:rPr>
            <w:noProof/>
            <w:webHidden/>
          </w:rPr>
          <w:fldChar w:fldCharType="begin"/>
        </w:r>
        <w:r w:rsidR="00992E28">
          <w:rPr>
            <w:noProof/>
            <w:webHidden/>
          </w:rPr>
          <w:instrText xml:space="preserve"> PAGEREF _Toc518908885 \h </w:instrText>
        </w:r>
        <w:r w:rsidR="00992E28">
          <w:rPr>
            <w:noProof/>
            <w:webHidden/>
          </w:rPr>
        </w:r>
        <w:r w:rsidR="00992E28">
          <w:rPr>
            <w:noProof/>
            <w:webHidden/>
          </w:rPr>
          <w:fldChar w:fldCharType="separate"/>
        </w:r>
        <w:r w:rsidR="00D34551">
          <w:rPr>
            <w:noProof/>
            <w:webHidden/>
          </w:rPr>
          <w:t>10</w:t>
        </w:r>
        <w:r w:rsidR="00992E28">
          <w:rPr>
            <w:noProof/>
            <w:webHidden/>
          </w:rPr>
          <w:fldChar w:fldCharType="end"/>
        </w:r>
      </w:hyperlink>
    </w:p>
    <w:p w:rsidR="00992E28" w:rsidRDefault="00DF5A41">
      <w:pPr>
        <w:pStyle w:val="TOC1"/>
        <w:tabs>
          <w:tab w:val="left" w:pos="480"/>
          <w:tab w:val="right" w:leader="dot" w:pos="9060"/>
        </w:tabs>
        <w:rPr>
          <w:rFonts w:eastAsiaTheme="minorEastAsia" w:cstheme="minorBidi"/>
          <w:b w:val="0"/>
          <w:bCs w:val="0"/>
          <w:noProof/>
          <w:sz w:val="22"/>
          <w:szCs w:val="22"/>
          <w:lang w:eastAsia="en-AU"/>
        </w:rPr>
      </w:pPr>
      <w:hyperlink w:anchor="_Toc518908886" w:history="1">
        <w:r w:rsidR="00992E28" w:rsidRPr="00EA7786">
          <w:rPr>
            <w:rStyle w:val="Hyperlink"/>
            <w:noProof/>
          </w:rPr>
          <w:t>5.</w:t>
        </w:r>
        <w:r w:rsidR="00992E28">
          <w:rPr>
            <w:rFonts w:eastAsiaTheme="minorEastAsia" w:cstheme="minorBidi"/>
            <w:b w:val="0"/>
            <w:bCs w:val="0"/>
            <w:noProof/>
            <w:sz w:val="22"/>
            <w:szCs w:val="22"/>
            <w:lang w:eastAsia="en-AU"/>
          </w:rPr>
          <w:tab/>
        </w:r>
        <w:r w:rsidR="00992E28" w:rsidRPr="00EA7786">
          <w:rPr>
            <w:rStyle w:val="Hyperlink"/>
            <w:noProof/>
          </w:rPr>
          <w:t>Next steps</w:t>
        </w:r>
        <w:r w:rsidR="00992E28">
          <w:rPr>
            <w:noProof/>
            <w:webHidden/>
          </w:rPr>
          <w:tab/>
        </w:r>
        <w:r w:rsidR="00992E28">
          <w:rPr>
            <w:noProof/>
            <w:webHidden/>
          </w:rPr>
          <w:fldChar w:fldCharType="begin"/>
        </w:r>
        <w:r w:rsidR="00992E28">
          <w:rPr>
            <w:noProof/>
            <w:webHidden/>
          </w:rPr>
          <w:instrText xml:space="preserve"> PAGEREF _Toc518908886 \h </w:instrText>
        </w:r>
        <w:r w:rsidR="00992E28">
          <w:rPr>
            <w:noProof/>
            <w:webHidden/>
          </w:rPr>
        </w:r>
        <w:r w:rsidR="00992E28">
          <w:rPr>
            <w:noProof/>
            <w:webHidden/>
          </w:rPr>
          <w:fldChar w:fldCharType="separate"/>
        </w:r>
        <w:r w:rsidR="00D34551">
          <w:rPr>
            <w:noProof/>
            <w:webHidden/>
          </w:rPr>
          <w:t>11</w:t>
        </w:r>
        <w:r w:rsidR="00992E28">
          <w:rPr>
            <w:noProof/>
            <w:webHidden/>
          </w:rPr>
          <w:fldChar w:fldCharType="end"/>
        </w:r>
      </w:hyperlink>
    </w:p>
    <w:p w:rsidR="00CB1876" w:rsidRPr="00CB1876" w:rsidRDefault="00963B38" w:rsidP="00CB1876">
      <w:r w:rsidRPr="00256730">
        <w:rPr>
          <w:rFonts w:asciiTheme="minorHAnsi" w:hAnsiTheme="minorHAnsi" w:cstheme="minorHAnsi"/>
          <w:b/>
          <w:bCs/>
          <w:i/>
          <w:iCs/>
        </w:rPr>
        <w:fldChar w:fldCharType="end"/>
      </w:r>
    </w:p>
    <w:p w:rsidR="00A4009B" w:rsidRPr="00A4009B" w:rsidRDefault="00A4009B" w:rsidP="00A4009B"/>
    <w:p w:rsidR="00D34551" w:rsidRDefault="00D34551" w:rsidP="00D34551">
      <w:pPr>
        <w:tabs>
          <w:tab w:val="right" w:pos="9070"/>
        </w:tabs>
        <w:jc w:val="right"/>
      </w:pPr>
    </w:p>
    <w:p w:rsidR="00E3570C" w:rsidRDefault="00E3570C" w:rsidP="00D34551">
      <w:pPr>
        <w:tabs>
          <w:tab w:val="right" w:pos="9070"/>
        </w:tabs>
        <w:rPr>
          <w:rFonts w:ascii="Arial" w:hAnsi="Arial" w:cs="Arial"/>
          <w:color w:val="1F497D"/>
          <w:sz w:val="32"/>
          <w:szCs w:val="32"/>
        </w:rPr>
      </w:pPr>
      <w:r w:rsidRPr="00D34551">
        <w:br w:type="page"/>
      </w:r>
    </w:p>
    <w:p w:rsidR="000306E2" w:rsidRDefault="00A27052" w:rsidP="0068651C">
      <w:pPr>
        <w:pStyle w:val="PPhdg1"/>
      </w:pPr>
      <w:bookmarkStart w:id="5" w:name="_Toc518908874"/>
      <w:r>
        <w:lastRenderedPageBreak/>
        <w:t>Introduction</w:t>
      </w:r>
      <w:r w:rsidR="00B1715C">
        <w:t>: The need to act</w:t>
      </w:r>
      <w:bookmarkEnd w:id="5"/>
    </w:p>
    <w:p w:rsidR="00A4009B" w:rsidRPr="008362DB" w:rsidRDefault="00A4009B" w:rsidP="00CC582E">
      <w:pPr>
        <w:pStyle w:val="Default"/>
        <w:spacing w:before="240"/>
        <w:rPr>
          <w:rFonts w:asciiTheme="minorHAnsi" w:hAnsiTheme="minorHAnsi" w:cstheme="minorHAnsi"/>
          <w:sz w:val="23"/>
          <w:szCs w:val="23"/>
        </w:rPr>
      </w:pPr>
      <w:r w:rsidRPr="008362DB">
        <w:rPr>
          <w:rFonts w:asciiTheme="minorHAnsi" w:hAnsiTheme="minorHAnsi" w:cstheme="minorHAnsi"/>
          <w:sz w:val="23"/>
          <w:szCs w:val="23"/>
        </w:rPr>
        <w:t>Road infrastructure in Australia is at a historic tipping point. Demand for significant new and upgraded infrastructure is growing</w:t>
      </w:r>
      <w:r w:rsidR="00313037">
        <w:rPr>
          <w:rFonts w:asciiTheme="minorHAnsi" w:hAnsiTheme="minorHAnsi" w:cstheme="minorHAnsi"/>
          <w:sz w:val="23"/>
          <w:szCs w:val="23"/>
        </w:rPr>
        <w:t>, including from the road transport industry which operates heavy vehicles</w:t>
      </w:r>
      <w:r w:rsidRPr="008362DB">
        <w:rPr>
          <w:rFonts w:asciiTheme="minorHAnsi" w:hAnsiTheme="minorHAnsi" w:cstheme="minorHAnsi"/>
          <w:sz w:val="23"/>
          <w:szCs w:val="23"/>
        </w:rPr>
        <w:t xml:space="preserve">. But it is getting harder for governments to fund the expectations and demands of road users almost entirely from general taxation revenue. In particular, road network and heavy vehicle industry productivity has plateaued or in some cases fallen due to a disconnect between road charging and funding. Increasingly, road providers have neither the funds nor incentives to expand road access (including for heavy vehicles). </w:t>
      </w:r>
    </w:p>
    <w:p w:rsidR="00A4009B" w:rsidRPr="008362DB" w:rsidRDefault="00A4009B" w:rsidP="00A4009B">
      <w:pPr>
        <w:pStyle w:val="Default"/>
        <w:spacing w:before="240"/>
        <w:rPr>
          <w:rFonts w:asciiTheme="minorHAnsi" w:hAnsiTheme="minorHAnsi" w:cstheme="minorHAnsi"/>
          <w:sz w:val="23"/>
          <w:szCs w:val="23"/>
        </w:rPr>
      </w:pPr>
      <w:r w:rsidRPr="008362DB">
        <w:rPr>
          <w:rFonts w:asciiTheme="minorHAnsi" w:hAnsiTheme="minorHAnsi" w:cstheme="minorHAnsi"/>
          <w:sz w:val="23"/>
          <w:szCs w:val="23"/>
        </w:rPr>
        <w:t xml:space="preserve">To date, roads have </w:t>
      </w:r>
      <w:r w:rsidR="00313037">
        <w:rPr>
          <w:rFonts w:asciiTheme="minorHAnsi" w:hAnsiTheme="minorHAnsi" w:cstheme="minorHAnsi"/>
          <w:sz w:val="23"/>
          <w:szCs w:val="23"/>
        </w:rPr>
        <w:t>not been the subject of a</w:t>
      </w:r>
      <w:r w:rsidRPr="008362DB">
        <w:rPr>
          <w:rFonts w:asciiTheme="minorHAnsi" w:hAnsiTheme="minorHAnsi" w:cstheme="minorHAnsi"/>
          <w:sz w:val="23"/>
          <w:szCs w:val="23"/>
        </w:rPr>
        <w:t xml:space="preserve"> microeconomic reform</w:t>
      </w:r>
      <w:r w:rsidR="00313037">
        <w:rPr>
          <w:rFonts w:asciiTheme="minorHAnsi" w:hAnsiTheme="minorHAnsi" w:cstheme="minorHAnsi"/>
          <w:sz w:val="23"/>
          <w:szCs w:val="23"/>
        </w:rPr>
        <w:t xml:space="preserve"> process of the kind that has </w:t>
      </w:r>
      <w:r w:rsidRPr="008362DB">
        <w:rPr>
          <w:rFonts w:asciiTheme="minorHAnsi" w:hAnsiTheme="minorHAnsi" w:cstheme="minorHAnsi"/>
          <w:sz w:val="23"/>
          <w:szCs w:val="23"/>
        </w:rPr>
        <w:t xml:space="preserve">transformed other public infrastructure sectors such as water and electricity into customer focused utility markets. </w:t>
      </w:r>
    </w:p>
    <w:p w:rsidR="00A4009B" w:rsidRDefault="00A4009B" w:rsidP="00A4009B">
      <w:pPr>
        <w:pStyle w:val="Default"/>
        <w:spacing w:before="240"/>
        <w:rPr>
          <w:rFonts w:asciiTheme="minorHAnsi" w:hAnsiTheme="minorHAnsi" w:cstheme="minorHAnsi"/>
          <w:sz w:val="23"/>
          <w:szCs w:val="23"/>
        </w:rPr>
      </w:pPr>
      <w:r w:rsidRPr="008362DB">
        <w:rPr>
          <w:rFonts w:asciiTheme="minorHAnsi" w:hAnsiTheme="minorHAnsi" w:cstheme="minorHAnsi"/>
          <w:sz w:val="23"/>
          <w:szCs w:val="23"/>
        </w:rPr>
        <w:t xml:space="preserve">Roads are provided as a public good, largely funded from consolidated revenues through government Budget processes with poor links between the supply of, and demand for road infrastructure. </w:t>
      </w:r>
      <w:r w:rsidR="006F50E0">
        <w:rPr>
          <w:rFonts w:asciiTheme="minorHAnsi" w:hAnsiTheme="minorHAnsi" w:cstheme="minorHAnsi"/>
          <w:sz w:val="23"/>
          <w:szCs w:val="23"/>
        </w:rPr>
        <w:t>T</w:t>
      </w:r>
      <w:r w:rsidRPr="008362DB">
        <w:rPr>
          <w:rFonts w:asciiTheme="minorHAnsi" w:hAnsiTheme="minorHAnsi" w:cstheme="minorHAnsi"/>
          <w:sz w:val="23"/>
          <w:szCs w:val="23"/>
        </w:rPr>
        <w:t>he public good model of road provision served Australia well for many years, resulting in Australia building and maintaining one of the longest road networks of any country</w:t>
      </w:r>
      <w:r w:rsidR="006F50E0">
        <w:rPr>
          <w:rFonts w:asciiTheme="minorHAnsi" w:hAnsiTheme="minorHAnsi" w:cstheme="minorHAnsi"/>
          <w:sz w:val="23"/>
          <w:szCs w:val="23"/>
        </w:rPr>
        <w:t>.</w:t>
      </w:r>
      <w:r w:rsidRPr="008362DB">
        <w:rPr>
          <w:rFonts w:asciiTheme="minorHAnsi" w:hAnsiTheme="minorHAnsi" w:cstheme="minorHAnsi"/>
          <w:sz w:val="23"/>
          <w:szCs w:val="23"/>
        </w:rPr>
        <w:t xml:space="preserve"> </w:t>
      </w:r>
      <w:r w:rsidR="006F50E0">
        <w:rPr>
          <w:rFonts w:asciiTheme="minorHAnsi" w:hAnsiTheme="minorHAnsi" w:cstheme="minorHAnsi"/>
          <w:sz w:val="23"/>
          <w:szCs w:val="23"/>
        </w:rPr>
        <w:t xml:space="preserve">However, </w:t>
      </w:r>
      <w:r w:rsidRPr="008362DB">
        <w:rPr>
          <w:rFonts w:asciiTheme="minorHAnsi" w:hAnsiTheme="minorHAnsi" w:cstheme="minorHAnsi"/>
          <w:sz w:val="23"/>
          <w:szCs w:val="23"/>
        </w:rPr>
        <w:t>structural Budget pressures, ageing road infrastructure, the diminishing returns from fuel-based taxes and a growing passenger and freight task, mean the model for funding and using roads is unlikely to be sustainable.</w:t>
      </w:r>
      <w:r w:rsidR="0017120A">
        <w:rPr>
          <w:rFonts w:asciiTheme="minorHAnsi" w:hAnsiTheme="minorHAnsi" w:cstheme="minorHAnsi"/>
          <w:sz w:val="23"/>
          <w:szCs w:val="23"/>
        </w:rPr>
        <w:t xml:space="preserve"> Technol</w:t>
      </w:r>
      <w:r w:rsidR="00D63913">
        <w:rPr>
          <w:rFonts w:asciiTheme="minorHAnsi" w:hAnsiTheme="minorHAnsi" w:cstheme="minorHAnsi"/>
          <w:sz w:val="23"/>
          <w:szCs w:val="23"/>
        </w:rPr>
        <w:t>ogy also represents a</w:t>
      </w:r>
      <w:r w:rsidR="006442DD">
        <w:rPr>
          <w:rFonts w:asciiTheme="minorHAnsi" w:hAnsiTheme="minorHAnsi" w:cstheme="minorHAnsi"/>
          <w:sz w:val="23"/>
          <w:szCs w:val="23"/>
        </w:rPr>
        <w:t xml:space="preserve"> source of disruption</w:t>
      </w:r>
      <w:r w:rsidR="00076FD1">
        <w:rPr>
          <w:rFonts w:asciiTheme="minorHAnsi" w:hAnsiTheme="minorHAnsi" w:cstheme="minorHAnsi"/>
          <w:sz w:val="23"/>
          <w:szCs w:val="23"/>
        </w:rPr>
        <w:t xml:space="preserve"> for the road transport sector. Th</w:t>
      </w:r>
      <w:r w:rsidR="00D63913">
        <w:rPr>
          <w:rFonts w:asciiTheme="minorHAnsi" w:hAnsiTheme="minorHAnsi" w:cstheme="minorHAnsi"/>
          <w:sz w:val="23"/>
          <w:szCs w:val="23"/>
        </w:rPr>
        <w:t>e uptake o</w:t>
      </w:r>
      <w:r w:rsidR="0057669B">
        <w:rPr>
          <w:rFonts w:asciiTheme="minorHAnsi" w:hAnsiTheme="minorHAnsi" w:cstheme="minorHAnsi"/>
          <w:sz w:val="23"/>
          <w:szCs w:val="23"/>
        </w:rPr>
        <w:t>f alternative fuel vehicles are</w:t>
      </w:r>
      <w:r w:rsidR="00076FD1">
        <w:rPr>
          <w:rFonts w:asciiTheme="minorHAnsi" w:hAnsiTheme="minorHAnsi" w:cstheme="minorHAnsi"/>
          <w:sz w:val="23"/>
          <w:szCs w:val="23"/>
        </w:rPr>
        <w:t xml:space="preserve"> likely to impact the sustainability of the current road revenue model. </w:t>
      </w:r>
      <w:r w:rsidR="0017120A">
        <w:rPr>
          <w:rFonts w:asciiTheme="minorHAnsi" w:hAnsiTheme="minorHAnsi" w:cstheme="minorHAnsi"/>
          <w:sz w:val="23"/>
          <w:szCs w:val="23"/>
        </w:rPr>
        <w:t xml:space="preserve"> </w:t>
      </w:r>
    </w:p>
    <w:p w:rsidR="00A4009B" w:rsidRPr="00734B7F" w:rsidRDefault="00B1715C" w:rsidP="0017120A">
      <w:pPr>
        <w:pStyle w:val="Default"/>
        <w:spacing w:before="240"/>
        <w:rPr>
          <w:rFonts w:asciiTheme="minorHAnsi" w:hAnsiTheme="minorHAnsi" w:cstheme="minorHAnsi"/>
          <w:sz w:val="16"/>
          <w:szCs w:val="16"/>
        </w:rPr>
      </w:pPr>
      <w:r w:rsidRPr="008362DB">
        <w:rPr>
          <w:rFonts w:asciiTheme="minorHAnsi" w:hAnsiTheme="minorHAnsi" w:cstheme="minorHAnsi"/>
          <w:sz w:val="23"/>
          <w:szCs w:val="23"/>
        </w:rPr>
        <w:t xml:space="preserve">The road transport industry is critically important to Australia’s economy and competitiveness, and the road freight task continues to grow. </w:t>
      </w:r>
      <w:r w:rsidR="0017120A">
        <w:rPr>
          <w:rFonts w:asciiTheme="minorHAnsi" w:hAnsiTheme="minorHAnsi" w:cstheme="minorHAnsi"/>
          <w:sz w:val="23"/>
          <w:szCs w:val="23"/>
        </w:rPr>
        <w:br/>
      </w:r>
    </w:p>
    <w:p w:rsidR="00A4009B" w:rsidRPr="008362DB" w:rsidRDefault="00F00B42" w:rsidP="00313037">
      <w:pPr>
        <w:pStyle w:val="Default"/>
        <w:jc w:val="center"/>
        <w:rPr>
          <w:rFonts w:asciiTheme="minorHAnsi" w:hAnsiTheme="minorHAnsi" w:cstheme="minorHAnsi"/>
        </w:rPr>
      </w:pPr>
      <w:r>
        <w:rPr>
          <w:rFonts w:asciiTheme="minorHAnsi" w:hAnsiTheme="minorHAnsi" w:cstheme="minorHAnsi"/>
          <w:noProof/>
          <w:lang w:eastAsia="en-AU"/>
        </w:rPr>
        <w:drawing>
          <wp:inline distT="0" distB="0" distL="0" distR="0" wp14:anchorId="442CA878" wp14:editId="598AA94A">
            <wp:extent cx="4746929" cy="42203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6755" cy="4255775"/>
                    </a:xfrm>
                    <a:prstGeom prst="rect">
                      <a:avLst/>
                    </a:prstGeom>
                    <a:noFill/>
                    <a:ln>
                      <a:noFill/>
                    </a:ln>
                  </pic:spPr>
                </pic:pic>
              </a:graphicData>
            </a:graphic>
          </wp:inline>
        </w:drawing>
      </w:r>
    </w:p>
    <w:p w:rsidR="00A4009B" w:rsidRDefault="00B1715C" w:rsidP="00A4009B">
      <w:pPr>
        <w:pStyle w:val="Default"/>
        <w:spacing w:before="240"/>
        <w:rPr>
          <w:rFonts w:asciiTheme="minorHAnsi" w:hAnsiTheme="minorHAnsi" w:cstheme="minorHAnsi"/>
          <w:sz w:val="23"/>
          <w:szCs w:val="23"/>
        </w:rPr>
      </w:pPr>
      <w:r w:rsidRPr="008362DB">
        <w:rPr>
          <w:rFonts w:asciiTheme="minorHAnsi" w:hAnsiTheme="minorHAnsi" w:cstheme="minorHAnsi"/>
          <w:sz w:val="23"/>
          <w:szCs w:val="23"/>
        </w:rPr>
        <w:t>In 1995-96, 107.4 billion tonne kilometres (BTK) of freight was transported over Australian roads, while in 2015</w:t>
      </w:r>
      <w:r w:rsidRPr="008362DB">
        <w:rPr>
          <w:rFonts w:asciiTheme="minorHAnsi" w:hAnsiTheme="minorHAnsi" w:cstheme="minorHAnsi"/>
          <w:sz w:val="23"/>
          <w:szCs w:val="23"/>
        </w:rPr>
        <w:noBreakHyphen/>
        <w:t>16 the figure was almost double at 2</w:t>
      </w:r>
      <w:r w:rsidR="006F50E0">
        <w:rPr>
          <w:rFonts w:asciiTheme="minorHAnsi" w:hAnsiTheme="minorHAnsi" w:cstheme="minorHAnsi"/>
          <w:sz w:val="23"/>
          <w:szCs w:val="23"/>
        </w:rPr>
        <w:t>13.9</w:t>
      </w:r>
      <w:r w:rsidRPr="008362DB">
        <w:rPr>
          <w:rFonts w:asciiTheme="minorHAnsi" w:hAnsiTheme="minorHAnsi" w:cstheme="minorHAnsi"/>
          <w:sz w:val="23"/>
          <w:szCs w:val="23"/>
        </w:rPr>
        <w:t xml:space="preserve"> BTK</w:t>
      </w:r>
      <w:r w:rsidRPr="008362DB">
        <w:rPr>
          <w:rFonts w:asciiTheme="minorHAnsi" w:hAnsiTheme="minorHAnsi" w:cstheme="minorHAnsi"/>
          <w:sz w:val="23"/>
          <w:szCs w:val="23"/>
          <w:vertAlign w:val="superscript"/>
        </w:rPr>
        <w:footnoteReference w:id="1"/>
      </w:r>
      <w:r w:rsidRPr="008362DB">
        <w:rPr>
          <w:rFonts w:asciiTheme="minorHAnsi" w:hAnsiTheme="minorHAnsi" w:cstheme="minorHAnsi"/>
          <w:sz w:val="23"/>
          <w:szCs w:val="23"/>
        </w:rPr>
        <w:t>.</w:t>
      </w:r>
    </w:p>
    <w:p w:rsidR="00A4009B" w:rsidRPr="008362DB" w:rsidRDefault="009F643A" w:rsidP="00A4009B">
      <w:pPr>
        <w:pStyle w:val="Default"/>
        <w:spacing w:before="240"/>
        <w:rPr>
          <w:rFonts w:asciiTheme="minorHAnsi" w:hAnsiTheme="minorHAnsi" w:cstheme="minorHAnsi"/>
          <w:sz w:val="23"/>
          <w:szCs w:val="23"/>
        </w:rPr>
      </w:pPr>
      <w:r>
        <w:rPr>
          <w:rFonts w:asciiTheme="minorHAnsi" w:hAnsiTheme="minorHAnsi" w:cstheme="minorHAnsi"/>
          <w:sz w:val="23"/>
          <w:szCs w:val="23"/>
        </w:rPr>
        <w:t xml:space="preserve">There has been recent improvement to investment decision making (e.g. cost benchmarking, business cases and </w:t>
      </w:r>
      <w:r w:rsidR="00BC16D0">
        <w:rPr>
          <w:rFonts w:asciiTheme="minorHAnsi" w:hAnsiTheme="minorHAnsi" w:cstheme="minorHAnsi"/>
          <w:sz w:val="23"/>
          <w:szCs w:val="23"/>
        </w:rPr>
        <w:t xml:space="preserve">a rolling </w:t>
      </w:r>
      <w:r>
        <w:rPr>
          <w:rFonts w:asciiTheme="minorHAnsi" w:hAnsiTheme="minorHAnsi" w:cstheme="minorHAnsi"/>
          <w:sz w:val="23"/>
          <w:szCs w:val="23"/>
        </w:rPr>
        <w:t xml:space="preserve">project pipeline), and infrastructure advisory bodies have been established in a number of jurisdictions. However, there is room for further improvement, to </w:t>
      </w:r>
      <w:r w:rsidR="0017120A">
        <w:rPr>
          <w:rFonts w:asciiTheme="minorHAnsi" w:hAnsiTheme="minorHAnsi" w:cstheme="minorHAnsi"/>
          <w:sz w:val="23"/>
          <w:szCs w:val="23"/>
        </w:rPr>
        <w:t>ma</w:t>
      </w:r>
      <w:r w:rsidR="00F7071B">
        <w:rPr>
          <w:rFonts w:asciiTheme="minorHAnsi" w:hAnsiTheme="minorHAnsi" w:cstheme="minorHAnsi"/>
          <w:sz w:val="23"/>
          <w:szCs w:val="23"/>
        </w:rPr>
        <w:t>x</w:t>
      </w:r>
      <w:r w:rsidR="0017120A">
        <w:rPr>
          <w:rFonts w:asciiTheme="minorHAnsi" w:hAnsiTheme="minorHAnsi" w:cstheme="minorHAnsi"/>
          <w:sz w:val="23"/>
          <w:szCs w:val="23"/>
        </w:rPr>
        <w:t>i</w:t>
      </w:r>
      <w:r w:rsidR="00F7071B">
        <w:rPr>
          <w:rFonts w:asciiTheme="minorHAnsi" w:hAnsiTheme="minorHAnsi" w:cstheme="minorHAnsi"/>
          <w:sz w:val="23"/>
          <w:szCs w:val="23"/>
        </w:rPr>
        <w:t>mise</w:t>
      </w:r>
      <w:r w:rsidR="00F7071B" w:rsidRPr="008362DB">
        <w:rPr>
          <w:rFonts w:asciiTheme="minorHAnsi" w:hAnsiTheme="minorHAnsi" w:cstheme="minorHAnsi"/>
          <w:sz w:val="23"/>
          <w:szCs w:val="23"/>
        </w:rPr>
        <w:t xml:space="preserve"> </w:t>
      </w:r>
      <w:r w:rsidR="00A4009B" w:rsidRPr="008362DB">
        <w:rPr>
          <w:rFonts w:asciiTheme="minorHAnsi" w:hAnsiTheme="minorHAnsi" w:cstheme="minorHAnsi"/>
          <w:sz w:val="23"/>
          <w:szCs w:val="23"/>
        </w:rPr>
        <w:t xml:space="preserve">efficient investments </w:t>
      </w:r>
      <w:r w:rsidR="00F7071B">
        <w:rPr>
          <w:rFonts w:asciiTheme="minorHAnsi" w:hAnsiTheme="minorHAnsi" w:cstheme="minorHAnsi"/>
          <w:sz w:val="23"/>
          <w:szCs w:val="23"/>
        </w:rPr>
        <w:t xml:space="preserve">based on </w:t>
      </w:r>
      <w:r w:rsidR="00A4009B" w:rsidRPr="008362DB">
        <w:rPr>
          <w:rFonts w:asciiTheme="minorHAnsi" w:hAnsiTheme="minorHAnsi" w:cstheme="minorHAnsi"/>
          <w:sz w:val="23"/>
          <w:szCs w:val="23"/>
        </w:rPr>
        <w:t>the needs of road users</w:t>
      </w:r>
      <w:r>
        <w:rPr>
          <w:rFonts w:asciiTheme="minorHAnsi" w:hAnsiTheme="minorHAnsi" w:cstheme="minorHAnsi"/>
          <w:sz w:val="23"/>
          <w:szCs w:val="23"/>
        </w:rPr>
        <w:t xml:space="preserve">. There is also a need to </w:t>
      </w:r>
      <w:r w:rsidR="00A4009B" w:rsidRPr="008362DB">
        <w:rPr>
          <w:rFonts w:asciiTheme="minorHAnsi" w:hAnsiTheme="minorHAnsi" w:cstheme="minorHAnsi"/>
          <w:sz w:val="23"/>
          <w:szCs w:val="23"/>
        </w:rPr>
        <w:t xml:space="preserve">promote efficient use by ensuring users value the true cost of building and maintaining road infrastructure. </w:t>
      </w:r>
    </w:p>
    <w:p w:rsidR="00BD53E4" w:rsidRPr="008362DB" w:rsidRDefault="00A4009B" w:rsidP="0068651C">
      <w:pPr>
        <w:pStyle w:val="Default"/>
        <w:spacing w:before="240"/>
        <w:rPr>
          <w:rFonts w:asciiTheme="minorHAnsi" w:hAnsiTheme="minorHAnsi" w:cstheme="minorHAnsi"/>
          <w:color w:val="auto"/>
          <w:sz w:val="23"/>
          <w:szCs w:val="23"/>
        </w:rPr>
      </w:pPr>
      <w:r w:rsidRPr="008362DB">
        <w:rPr>
          <w:rFonts w:asciiTheme="minorHAnsi" w:hAnsiTheme="minorHAnsi" w:cstheme="minorHAnsi"/>
          <w:sz w:val="23"/>
          <w:szCs w:val="23"/>
        </w:rPr>
        <w:t>While there is a need to improve the efficient provision and use of road services, there will continue to be a role for all governments to support the provision of basic road services to ensure social mobility, economic welfare, road safety and public security. Any reforms to road investment and charging arrangements must be mindful of how best to integrate roads as an economic service with roads as a</w:t>
      </w:r>
      <w:r>
        <w:rPr>
          <w:rFonts w:asciiTheme="minorHAnsi" w:hAnsiTheme="minorHAnsi" w:cstheme="minorHAnsi"/>
          <w:sz w:val="23"/>
          <w:szCs w:val="23"/>
        </w:rPr>
        <w:t xml:space="preserve"> </w:t>
      </w:r>
      <w:r w:rsidRPr="008362DB">
        <w:rPr>
          <w:rFonts w:asciiTheme="minorHAnsi" w:hAnsiTheme="minorHAnsi" w:cstheme="minorHAnsi"/>
          <w:color w:val="auto"/>
          <w:sz w:val="23"/>
          <w:szCs w:val="23"/>
        </w:rPr>
        <w:t xml:space="preserve">community service obligation. This is especially important </w:t>
      </w:r>
      <w:r w:rsidR="0017120A">
        <w:rPr>
          <w:rFonts w:asciiTheme="minorHAnsi" w:hAnsiTheme="minorHAnsi" w:cstheme="minorHAnsi"/>
          <w:color w:val="auto"/>
          <w:sz w:val="23"/>
          <w:szCs w:val="23"/>
        </w:rPr>
        <w:t xml:space="preserve">on roads </w:t>
      </w:r>
      <w:r w:rsidRPr="008362DB">
        <w:rPr>
          <w:rFonts w:asciiTheme="minorHAnsi" w:hAnsiTheme="minorHAnsi" w:cstheme="minorHAnsi"/>
          <w:color w:val="auto"/>
          <w:sz w:val="23"/>
          <w:szCs w:val="23"/>
        </w:rPr>
        <w:t xml:space="preserve">where the true costs of road service provision would be divided among a very small number of users resulting in road charges that are considered to be too high – as would likely be the case on many rural and remote roads. </w:t>
      </w:r>
    </w:p>
    <w:p w:rsidR="00A4009B" w:rsidRPr="0068651C" w:rsidRDefault="00A4009B" w:rsidP="0068651C">
      <w:pPr>
        <w:pStyle w:val="PPhdg1"/>
      </w:pPr>
      <w:bookmarkStart w:id="6" w:name="_Toc518908875"/>
      <w:r w:rsidRPr="0068651C">
        <w:t>Heavy vehicle investment and charging</w:t>
      </w:r>
      <w:r w:rsidR="00963B38">
        <w:t xml:space="preserve">: </w:t>
      </w:r>
      <w:r w:rsidR="00313037">
        <w:t>a logical area</w:t>
      </w:r>
      <w:r w:rsidRPr="0068651C">
        <w:t xml:space="preserve"> for reform</w:t>
      </w:r>
      <w:bookmarkEnd w:id="6"/>
      <w:r w:rsidRPr="0068651C">
        <w:t xml:space="preserve"> </w:t>
      </w:r>
    </w:p>
    <w:p w:rsidR="00A4009B" w:rsidRPr="00BD53E4" w:rsidRDefault="00A4009B" w:rsidP="00BD53E4">
      <w:pPr>
        <w:pStyle w:val="Default"/>
        <w:spacing w:before="240"/>
        <w:rPr>
          <w:rFonts w:asciiTheme="minorHAnsi" w:hAnsiTheme="minorHAnsi" w:cstheme="minorHAnsi"/>
          <w:sz w:val="23"/>
          <w:szCs w:val="23"/>
        </w:rPr>
      </w:pPr>
      <w:r w:rsidRPr="00BD53E4">
        <w:rPr>
          <w:rFonts w:asciiTheme="minorHAnsi" w:hAnsiTheme="minorHAnsi" w:cstheme="minorHAnsi"/>
          <w:sz w:val="23"/>
          <w:szCs w:val="23"/>
        </w:rPr>
        <w:t>There have been a number of recent reviews into Australia’s national productivity which have highlighted the need for road market reform, including for heavy vehicles:</w:t>
      </w:r>
    </w:p>
    <w:p w:rsidR="00A4009B" w:rsidRPr="00992E28" w:rsidRDefault="00A4009B">
      <w:pPr>
        <w:pStyle w:val="ListParagraph"/>
        <w:rPr>
          <w:sz w:val="23"/>
          <w:szCs w:val="23"/>
        </w:rPr>
      </w:pPr>
      <w:r w:rsidRPr="00992E28">
        <w:rPr>
          <w:sz w:val="23"/>
          <w:szCs w:val="23"/>
        </w:rPr>
        <w:t xml:space="preserve">The Productivity Commission (PC) </w:t>
      </w:r>
      <w:r w:rsidRPr="00992E28">
        <w:rPr>
          <w:i/>
          <w:sz w:val="23"/>
          <w:szCs w:val="23"/>
        </w:rPr>
        <w:t>Five Year Productivity Review</w:t>
      </w:r>
      <w:r w:rsidRPr="00992E28">
        <w:rPr>
          <w:sz w:val="23"/>
          <w:szCs w:val="23"/>
        </w:rPr>
        <w:t xml:space="preserve"> (2017);</w:t>
      </w:r>
    </w:p>
    <w:p w:rsidR="00A4009B" w:rsidRPr="00992E28" w:rsidRDefault="00A4009B">
      <w:pPr>
        <w:pStyle w:val="ListParagraph"/>
        <w:rPr>
          <w:sz w:val="23"/>
          <w:szCs w:val="23"/>
        </w:rPr>
      </w:pPr>
      <w:r w:rsidRPr="00992E28">
        <w:rPr>
          <w:sz w:val="23"/>
          <w:szCs w:val="23"/>
        </w:rPr>
        <w:t xml:space="preserve">Infrastructure Australia </w:t>
      </w:r>
      <w:r w:rsidRPr="00992E28">
        <w:rPr>
          <w:i/>
          <w:sz w:val="23"/>
          <w:szCs w:val="23"/>
        </w:rPr>
        <w:t>Australian Infrastructure Plan</w:t>
      </w:r>
      <w:r w:rsidRPr="00992E28">
        <w:rPr>
          <w:sz w:val="23"/>
          <w:szCs w:val="23"/>
        </w:rPr>
        <w:t xml:space="preserve"> (2016);</w:t>
      </w:r>
    </w:p>
    <w:p w:rsidR="00A4009B" w:rsidRPr="00992E28" w:rsidRDefault="00A4009B">
      <w:pPr>
        <w:pStyle w:val="ListParagraph"/>
        <w:rPr>
          <w:sz w:val="23"/>
          <w:szCs w:val="23"/>
        </w:rPr>
      </w:pPr>
      <w:r w:rsidRPr="00992E28">
        <w:rPr>
          <w:sz w:val="23"/>
          <w:szCs w:val="23"/>
        </w:rPr>
        <w:t>The Competition Policy (Harper) Review (2015).</w:t>
      </w:r>
    </w:p>
    <w:p w:rsidR="00A4009B" w:rsidRPr="00FB6CF6" w:rsidRDefault="00A4009B" w:rsidP="00FB6CF6">
      <w:pPr>
        <w:pStyle w:val="Default"/>
        <w:spacing w:before="240"/>
        <w:rPr>
          <w:rFonts w:asciiTheme="minorHAnsi" w:hAnsiTheme="minorHAnsi" w:cstheme="minorHAnsi"/>
          <w:sz w:val="23"/>
          <w:szCs w:val="23"/>
        </w:rPr>
      </w:pPr>
      <w:r w:rsidRPr="00FB6CF6">
        <w:rPr>
          <w:rFonts w:asciiTheme="minorHAnsi" w:hAnsiTheme="minorHAnsi" w:cstheme="minorHAnsi"/>
          <w:sz w:val="23"/>
          <w:szCs w:val="23"/>
        </w:rPr>
        <w:t xml:space="preserve">The 2007 Productivity Commission Inquiry into </w:t>
      </w:r>
      <w:r w:rsidRPr="00FB6CF6">
        <w:rPr>
          <w:rFonts w:asciiTheme="minorHAnsi" w:hAnsiTheme="minorHAnsi" w:cstheme="minorHAnsi"/>
          <w:i/>
          <w:sz w:val="23"/>
          <w:szCs w:val="23"/>
        </w:rPr>
        <w:t>Road and Rail Freight Infrastructure Pricing</w:t>
      </w:r>
      <w:r w:rsidRPr="00FB6CF6">
        <w:rPr>
          <w:rFonts w:asciiTheme="minorHAnsi" w:hAnsiTheme="minorHAnsi" w:cstheme="minorHAnsi"/>
          <w:sz w:val="23"/>
          <w:szCs w:val="23"/>
        </w:rPr>
        <w:t xml:space="preserve"> identified that heavy vehicles are the logical starting point for road charging and investment reform because: </w:t>
      </w:r>
    </w:p>
    <w:p w:rsidR="00A4009B" w:rsidRPr="00992E28" w:rsidRDefault="00A4009B">
      <w:pPr>
        <w:pStyle w:val="ListParagraph"/>
        <w:rPr>
          <w:sz w:val="23"/>
          <w:szCs w:val="23"/>
        </w:rPr>
      </w:pPr>
      <w:r w:rsidRPr="00992E28">
        <w:rPr>
          <w:sz w:val="23"/>
          <w:szCs w:val="23"/>
        </w:rPr>
        <w:t xml:space="preserve">as a small segment of the total vehicle fleet (3%), heavy vehicles impose a disproportionate cost on the network through additional maintenance (wear and tear) and capital requirements (infrastructure strengthening); </w:t>
      </w:r>
    </w:p>
    <w:p w:rsidR="00A4009B" w:rsidRPr="00992E28" w:rsidRDefault="00A4009B">
      <w:pPr>
        <w:pStyle w:val="ListParagraph"/>
        <w:rPr>
          <w:sz w:val="23"/>
          <w:szCs w:val="23"/>
        </w:rPr>
      </w:pPr>
      <w:r w:rsidRPr="00992E28">
        <w:rPr>
          <w:sz w:val="23"/>
          <w:szCs w:val="23"/>
        </w:rPr>
        <w:t xml:space="preserve">heavy vehicles are already subject to a user charging mechanism (albeit relatively rudimentary) to recover their share of past road expenditure; and </w:t>
      </w:r>
    </w:p>
    <w:p w:rsidR="00A4009B" w:rsidRPr="00992E28" w:rsidRDefault="00A4009B">
      <w:pPr>
        <w:pStyle w:val="ListParagraph"/>
        <w:rPr>
          <w:sz w:val="23"/>
          <w:szCs w:val="23"/>
        </w:rPr>
      </w:pPr>
      <w:r w:rsidRPr="00992E28">
        <w:rPr>
          <w:sz w:val="23"/>
          <w:szCs w:val="23"/>
        </w:rPr>
        <w:t xml:space="preserve">as economic rather than social users of the road network, targeting infrastructure investments and expenditure to better support access and productivity in the road freight sector would have a substantial productivity dividend for the national economy. </w:t>
      </w:r>
    </w:p>
    <w:p w:rsidR="00992E28" w:rsidRDefault="00992E28" w:rsidP="00760E62">
      <w:pPr>
        <w:pStyle w:val="PPhdg2"/>
      </w:pPr>
      <w:bookmarkStart w:id="7" w:name="_Toc518908876"/>
    </w:p>
    <w:p w:rsidR="00A4009B" w:rsidRDefault="00A4009B" w:rsidP="00760E62">
      <w:pPr>
        <w:pStyle w:val="PPhdg2"/>
      </w:pPr>
      <w:r w:rsidRPr="00FB6CF6">
        <w:t xml:space="preserve">Our </w:t>
      </w:r>
      <w:r w:rsidR="00D1702C">
        <w:t>c</w:t>
      </w:r>
      <w:r w:rsidRPr="00FB6CF6">
        <w:t xml:space="preserve">urrent </w:t>
      </w:r>
      <w:r w:rsidR="00D1702C">
        <w:t>s</w:t>
      </w:r>
      <w:r w:rsidRPr="00FB6CF6">
        <w:t>ystem</w:t>
      </w:r>
      <w:bookmarkEnd w:id="7"/>
    </w:p>
    <w:p w:rsidR="00CC582E" w:rsidRPr="00CC582E" w:rsidRDefault="00CC582E" w:rsidP="00CC582E">
      <w:pPr>
        <w:pStyle w:val="Default"/>
        <w:spacing w:before="240"/>
        <w:rPr>
          <w:rFonts w:asciiTheme="minorHAnsi" w:hAnsiTheme="minorHAnsi" w:cstheme="minorHAnsi"/>
          <w:sz w:val="23"/>
          <w:szCs w:val="23"/>
        </w:rPr>
      </w:pPr>
      <w:r w:rsidRPr="00CC582E">
        <w:rPr>
          <w:rFonts w:asciiTheme="minorHAnsi" w:hAnsiTheme="minorHAnsi" w:cstheme="minorHAnsi"/>
          <w:sz w:val="23"/>
          <w:szCs w:val="23"/>
        </w:rPr>
        <w:t>Heavy vehicle operators already pay charges designed to recover the cost of their road use. The current national heavy vehicle charging system, Pay As You Go (PAYGO), is characterised by poor links between the needs of users, the charges they pay and the services they receive. A more direct user charging system and reforms to the way governments plan, fund, invest in and deliver road infrastructure is needed.</w:t>
      </w:r>
    </w:p>
    <w:p w:rsidR="00CC582E" w:rsidRPr="00CC582E" w:rsidRDefault="00CC582E" w:rsidP="00CC582E">
      <w:pPr>
        <w:spacing w:after="0"/>
        <w:rPr>
          <w:rFonts w:cstheme="minorHAnsi"/>
          <w:sz w:val="28"/>
          <w:szCs w:val="28"/>
        </w:rPr>
      </w:pPr>
    </w:p>
    <w:p w:rsidR="00A4009B" w:rsidRPr="008362DB" w:rsidRDefault="00A4009B" w:rsidP="00A4009B">
      <w:pPr>
        <w:rPr>
          <w:rFonts w:cstheme="minorHAnsi"/>
        </w:rPr>
      </w:pPr>
      <w:r w:rsidRPr="008362DB">
        <w:rPr>
          <w:rFonts w:cstheme="minorHAnsi"/>
          <w:noProof/>
          <w:lang w:eastAsia="en-AU"/>
        </w:rPr>
        <w:drawing>
          <wp:inline distT="0" distB="0" distL="0" distR="0" wp14:anchorId="204CFFE8" wp14:editId="1E7A34A4">
            <wp:extent cx="5867400" cy="2282342"/>
            <wp:effectExtent l="0" t="0" r="0" b="3810"/>
            <wp:docPr id="40" name="Picture 40" descr="C:\Users\KZwerwer\Desktop\Current Syste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Zwerwer\Desktop\Current System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437" cy="2356264"/>
                    </a:xfrm>
                    <a:prstGeom prst="rect">
                      <a:avLst/>
                    </a:prstGeom>
                    <a:noFill/>
                    <a:ln>
                      <a:noFill/>
                    </a:ln>
                  </pic:spPr>
                </pic:pic>
              </a:graphicData>
            </a:graphic>
          </wp:inline>
        </w:drawing>
      </w:r>
    </w:p>
    <w:p w:rsidR="00A4009B" w:rsidRPr="00CC582E" w:rsidRDefault="00A4009B" w:rsidP="00CC582E">
      <w:pPr>
        <w:pStyle w:val="Default"/>
        <w:spacing w:before="240"/>
        <w:rPr>
          <w:rFonts w:asciiTheme="minorHAnsi" w:hAnsiTheme="minorHAnsi" w:cstheme="minorHAnsi"/>
          <w:sz w:val="23"/>
          <w:szCs w:val="23"/>
        </w:rPr>
      </w:pPr>
      <w:r w:rsidRPr="00CC582E">
        <w:rPr>
          <w:rFonts w:asciiTheme="minorHAnsi" w:hAnsiTheme="minorHAnsi" w:cstheme="minorHAnsi"/>
          <w:sz w:val="23"/>
          <w:szCs w:val="23"/>
        </w:rPr>
        <w:t xml:space="preserve">Disadvantages </w:t>
      </w:r>
      <w:r w:rsidR="00CC582E" w:rsidRPr="00CC582E">
        <w:rPr>
          <w:rFonts w:asciiTheme="minorHAnsi" w:hAnsiTheme="minorHAnsi" w:cstheme="minorHAnsi"/>
          <w:sz w:val="23"/>
          <w:szCs w:val="23"/>
        </w:rPr>
        <w:t>of the current system:</w:t>
      </w:r>
    </w:p>
    <w:p w:rsidR="00A4009B" w:rsidRPr="00992E28" w:rsidRDefault="00A4009B">
      <w:pPr>
        <w:pStyle w:val="ListParagraph"/>
        <w:rPr>
          <w:sz w:val="23"/>
          <w:szCs w:val="23"/>
        </w:rPr>
      </w:pPr>
      <w:r w:rsidRPr="00992E28">
        <w:rPr>
          <w:sz w:val="23"/>
          <w:szCs w:val="23"/>
        </w:rPr>
        <w:t xml:space="preserve">Charges (revenue) don't reflect each individual user's share of road costs. </w:t>
      </w:r>
    </w:p>
    <w:p w:rsidR="00A4009B" w:rsidRPr="00992E28" w:rsidRDefault="00A4009B">
      <w:pPr>
        <w:pStyle w:val="ListParagraph"/>
        <w:rPr>
          <w:sz w:val="23"/>
          <w:szCs w:val="23"/>
        </w:rPr>
      </w:pPr>
      <w:r w:rsidRPr="00992E28">
        <w:rPr>
          <w:sz w:val="23"/>
          <w:szCs w:val="23"/>
        </w:rPr>
        <w:t xml:space="preserve">No incentive for treasuries or road owners to prioritise road spending to benefit heavy vehicle operators either now or in the future. </w:t>
      </w:r>
    </w:p>
    <w:p w:rsidR="00A4009B" w:rsidRPr="00CA55D4" w:rsidRDefault="00A4009B">
      <w:pPr>
        <w:pStyle w:val="ListParagraph"/>
        <w:rPr>
          <w:sz w:val="23"/>
          <w:szCs w:val="23"/>
        </w:rPr>
      </w:pPr>
      <w:r w:rsidRPr="00CA55D4">
        <w:rPr>
          <w:sz w:val="23"/>
          <w:szCs w:val="23"/>
        </w:rPr>
        <w:t xml:space="preserve">Charges </w:t>
      </w:r>
      <w:r w:rsidR="00CA55D4" w:rsidRPr="00CA55D4">
        <w:rPr>
          <w:sz w:val="23"/>
          <w:szCs w:val="23"/>
        </w:rPr>
        <w:t xml:space="preserve">set do not take into account </w:t>
      </w:r>
      <w:r w:rsidRPr="00CA55D4">
        <w:rPr>
          <w:sz w:val="23"/>
          <w:szCs w:val="23"/>
        </w:rPr>
        <w:t xml:space="preserve">the future network needs and this increases road asset lifecycle costs. </w:t>
      </w:r>
    </w:p>
    <w:p w:rsidR="00A4009B" w:rsidRPr="00992E28" w:rsidRDefault="00A4009B">
      <w:pPr>
        <w:pStyle w:val="ListParagraph"/>
        <w:rPr>
          <w:sz w:val="23"/>
          <w:szCs w:val="23"/>
        </w:rPr>
      </w:pPr>
      <w:r w:rsidRPr="00992E28">
        <w:rPr>
          <w:sz w:val="23"/>
          <w:szCs w:val="23"/>
        </w:rPr>
        <w:t xml:space="preserve">Volatility in heavy vehicle charges and revenue results from the current charges methodology. </w:t>
      </w:r>
    </w:p>
    <w:p w:rsidR="00A4009B" w:rsidRPr="00992E28" w:rsidRDefault="00A4009B">
      <w:pPr>
        <w:pStyle w:val="ListParagraph"/>
        <w:rPr>
          <w:sz w:val="23"/>
          <w:szCs w:val="23"/>
        </w:rPr>
      </w:pPr>
      <w:r w:rsidRPr="00992E28">
        <w:rPr>
          <w:sz w:val="23"/>
          <w:szCs w:val="23"/>
        </w:rPr>
        <w:t>Charges are not automatically or consistently applied across Australia.</w:t>
      </w:r>
    </w:p>
    <w:p w:rsidR="00A4009B" w:rsidRPr="00CC582E" w:rsidRDefault="00A4009B" w:rsidP="00CC582E">
      <w:pPr>
        <w:pStyle w:val="Default"/>
        <w:spacing w:before="240"/>
        <w:rPr>
          <w:rFonts w:asciiTheme="minorHAnsi" w:hAnsiTheme="minorHAnsi" w:cstheme="minorHAnsi"/>
          <w:sz w:val="23"/>
          <w:szCs w:val="23"/>
        </w:rPr>
      </w:pPr>
      <w:r w:rsidRPr="00CC582E">
        <w:rPr>
          <w:rFonts w:asciiTheme="minorHAnsi" w:hAnsiTheme="minorHAnsi" w:cstheme="minorHAnsi"/>
          <w:sz w:val="23"/>
          <w:szCs w:val="23"/>
        </w:rPr>
        <w:t>Doing nothing to reform heavy vehicle investment and charging arrangements will mean that, increasingly, roads managers will not be able to deliver the quality of road services necessary to meet the growing national freight task. The costs will be borne by the road transport industry in lost productivity; the community in higher costs of goods and services; and the economy in overall lower efficiency and productivity.</w:t>
      </w:r>
    </w:p>
    <w:p w:rsidR="006B7DE6" w:rsidRDefault="006B7DE6" w:rsidP="00760E62">
      <w:pPr>
        <w:pStyle w:val="PPhdg2"/>
      </w:pPr>
      <w:bookmarkStart w:id="8" w:name="_Toc518908877"/>
    </w:p>
    <w:p w:rsidR="006B7DE6" w:rsidRDefault="006B7DE6" w:rsidP="00760E62">
      <w:pPr>
        <w:pStyle w:val="PPhdg2"/>
      </w:pPr>
    </w:p>
    <w:p w:rsidR="006B7DE6" w:rsidRDefault="006B7DE6" w:rsidP="00760E62">
      <w:pPr>
        <w:pStyle w:val="PPhdg2"/>
      </w:pPr>
    </w:p>
    <w:p w:rsidR="006B7DE6" w:rsidRDefault="006B7DE6" w:rsidP="00760E62">
      <w:pPr>
        <w:pStyle w:val="PPhdg2"/>
      </w:pPr>
    </w:p>
    <w:p w:rsidR="006B7DE6" w:rsidRDefault="006B7DE6" w:rsidP="00760E62">
      <w:pPr>
        <w:pStyle w:val="PPhdg2"/>
      </w:pPr>
    </w:p>
    <w:p w:rsidR="00FB6CF6" w:rsidRPr="00FB6CF6" w:rsidRDefault="00FB6CF6" w:rsidP="00760E62">
      <w:pPr>
        <w:pStyle w:val="PPhdg2"/>
      </w:pPr>
      <w:r w:rsidRPr="00FB6CF6">
        <w:t xml:space="preserve">The </w:t>
      </w:r>
      <w:r>
        <w:t>response: Heavy Vehicle Road Reform</w:t>
      </w:r>
      <w:bookmarkEnd w:id="8"/>
    </w:p>
    <w:p w:rsidR="00A4009B" w:rsidRPr="00CC582E" w:rsidRDefault="00A4009B" w:rsidP="00CC582E">
      <w:pPr>
        <w:pStyle w:val="Default"/>
        <w:spacing w:before="240"/>
        <w:rPr>
          <w:rFonts w:asciiTheme="minorHAnsi" w:hAnsiTheme="minorHAnsi" w:cstheme="minorHAnsi"/>
          <w:sz w:val="23"/>
          <w:szCs w:val="23"/>
        </w:rPr>
      </w:pPr>
      <w:r w:rsidRPr="00CC582E">
        <w:rPr>
          <w:rFonts w:asciiTheme="minorHAnsi" w:hAnsiTheme="minorHAnsi" w:cstheme="minorHAnsi"/>
          <w:sz w:val="23"/>
          <w:szCs w:val="23"/>
        </w:rPr>
        <w:t>All levels of government in Australia are working together to establish a regulated market for the provision of road services to the heavy vehicle industry. The ultimate aim of this reform is an improved customer focus for heavy vehicle road users, linking their needs with the level of service they receive, the charges they pay and the investment of those charges back into road services where feasible.</w:t>
      </w:r>
    </w:p>
    <w:p w:rsidR="00A4009B" w:rsidRPr="00B45009" w:rsidRDefault="00A4009B" w:rsidP="00B45009">
      <w:pPr>
        <w:pStyle w:val="Default"/>
        <w:spacing w:before="240"/>
        <w:rPr>
          <w:rFonts w:asciiTheme="minorHAnsi" w:hAnsiTheme="minorHAnsi" w:cstheme="minorHAnsi"/>
          <w:sz w:val="23"/>
          <w:szCs w:val="23"/>
        </w:rPr>
      </w:pPr>
      <w:r w:rsidRPr="00CC582E">
        <w:rPr>
          <w:rFonts w:asciiTheme="minorHAnsi" w:hAnsiTheme="minorHAnsi" w:cstheme="minorHAnsi"/>
          <w:sz w:val="23"/>
          <w:szCs w:val="23"/>
        </w:rPr>
        <w:t>The economic benefits of this reform are estimated to range from $6.5 to $13.3 billion over the next 20 years. Key benefits would include:</w:t>
      </w:r>
    </w:p>
    <w:p w:rsidR="00A4009B" w:rsidRPr="00992E28" w:rsidRDefault="00A4009B">
      <w:pPr>
        <w:pStyle w:val="ListParagraph"/>
        <w:rPr>
          <w:sz w:val="23"/>
          <w:szCs w:val="23"/>
        </w:rPr>
      </w:pPr>
      <w:r w:rsidRPr="00992E28">
        <w:rPr>
          <w:sz w:val="23"/>
          <w:szCs w:val="23"/>
        </w:rPr>
        <w:t>Improved heavy vehicle productivity through better access, improved road maintenance and minimised freight costs for consumers</w:t>
      </w:r>
      <w:r w:rsidR="00CC582E" w:rsidRPr="00992E28">
        <w:rPr>
          <w:sz w:val="23"/>
          <w:szCs w:val="23"/>
        </w:rPr>
        <w:t>.</w:t>
      </w:r>
    </w:p>
    <w:p w:rsidR="00A4009B" w:rsidRPr="00992E28" w:rsidRDefault="00A4009B">
      <w:pPr>
        <w:pStyle w:val="ListParagraph"/>
        <w:rPr>
          <w:sz w:val="23"/>
          <w:szCs w:val="23"/>
        </w:rPr>
      </w:pPr>
      <w:r w:rsidRPr="00992E28">
        <w:rPr>
          <w:sz w:val="23"/>
          <w:szCs w:val="23"/>
        </w:rPr>
        <w:t>Economic growth, noting every 1 percent increase in heavy vehicle productivity leads to a $1 billion increase in Australia’s GDP</w:t>
      </w:r>
      <w:r w:rsidR="00CC582E" w:rsidRPr="00992E28">
        <w:rPr>
          <w:sz w:val="23"/>
          <w:szCs w:val="23"/>
        </w:rPr>
        <w:t>.</w:t>
      </w:r>
      <w:r w:rsidR="003858A6" w:rsidRPr="00992E28">
        <w:rPr>
          <w:rStyle w:val="FootnoteReference"/>
          <w:sz w:val="23"/>
          <w:szCs w:val="23"/>
        </w:rPr>
        <w:footnoteReference w:id="2"/>
      </w:r>
    </w:p>
    <w:p w:rsidR="00A4009B" w:rsidRPr="00992E28" w:rsidRDefault="00A4009B">
      <w:pPr>
        <w:pStyle w:val="ListParagraph"/>
        <w:rPr>
          <w:sz w:val="23"/>
          <w:szCs w:val="23"/>
        </w:rPr>
      </w:pPr>
      <w:r w:rsidRPr="00992E28">
        <w:rPr>
          <w:sz w:val="23"/>
          <w:szCs w:val="23"/>
        </w:rPr>
        <w:t>Safeguarding Australia’s $470 billion road network,</w:t>
      </w:r>
      <w:r w:rsidR="003858A6" w:rsidRPr="00992E28">
        <w:rPr>
          <w:rStyle w:val="FootnoteReference"/>
          <w:sz w:val="23"/>
          <w:szCs w:val="23"/>
        </w:rPr>
        <w:footnoteReference w:id="3"/>
      </w:r>
      <w:r w:rsidRPr="00992E28">
        <w:rPr>
          <w:sz w:val="23"/>
          <w:szCs w:val="23"/>
        </w:rPr>
        <w:t xml:space="preserve"> through optimised asset management and efficient investments. </w:t>
      </w:r>
    </w:p>
    <w:p w:rsidR="00BD53E4" w:rsidRPr="00760E62" w:rsidRDefault="00A4009B" w:rsidP="00760E62">
      <w:pPr>
        <w:pStyle w:val="Default"/>
        <w:spacing w:before="240"/>
        <w:rPr>
          <w:rFonts w:asciiTheme="minorHAnsi" w:hAnsiTheme="minorHAnsi" w:cstheme="minorHAnsi"/>
          <w:sz w:val="23"/>
          <w:szCs w:val="23"/>
        </w:rPr>
      </w:pPr>
      <w:r w:rsidRPr="00CC582E">
        <w:rPr>
          <w:rFonts w:asciiTheme="minorHAnsi" w:hAnsiTheme="minorHAnsi" w:cstheme="minorHAnsi"/>
          <w:sz w:val="23"/>
          <w:szCs w:val="23"/>
        </w:rPr>
        <w:t xml:space="preserve">“Heavy Vehicle Road Reform” is a significant, multi-year national reform comprising a range of elements, being progressed according to a road map endorsed by the Council of Australian Governments and its Transport and Infrastructure Council. </w:t>
      </w:r>
      <w:r w:rsidR="00BD53E4" w:rsidRPr="00BD53E4">
        <w:rPr>
          <w:rFonts w:asciiTheme="minorHAnsi" w:hAnsiTheme="minorHAnsi" w:cstheme="minorHAnsi"/>
          <w:sz w:val="23"/>
          <w:szCs w:val="23"/>
        </w:rPr>
        <w:t xml:space="preserve">Each step of the reform, including any new arrangements for road user charging, will only go ahead if governments are satisfied that benefits to the community would outweigh the costs. </w:t>
      </w:r>
    </w:p>
    <w:p w:rsidR="00A4009B" w:rsidRPr="00FB6CF6" w:rsidRDefault="00A4009B" w:rsidP="00760E62">
      <w:pPr>
        <w:pStyle w:val="PPhdg2"/>
      </w:pPr>
      <w:bookmarkStart w:id="9" w:name="_Toc518908878"/>
      <w:r w:rsidRPr="00FB6CF6">
        <w:t>Principles of Heavy Vehicle Road Reform</w:t>
      </w:r>
      <w:bookmarkEnd w:id="9"/>
      <w:r w:rsidRPr="00FB6CF6">
        <w:t xml:space="preserve"> </w:t>
      </w:r>
    </w:p>
    <w:p w:rsidR="00A4009B" w:rsidRDefault="00A4009B" w:rsidP="008C0C87">
      <w:pPr>
        <w:pStyle w:val="Default"/>
        <w:spacing w:before="240" w:after="240"/>
        <w:rPr>
          <w:rFonts w:asciiTheme="minorHAnsi" w:hAnsiTheme="minorHAnsi" w:cstheme="minorHAnsi"/>
          <w:sz w:val="23"/>
          <w:szCs w:val="23"/>
        </w:rPr>
      </w:pPr>
      <w:r w:rsidRPr="00CC582E">
        <w:rPr>
          <w:rFonts w:asciiTheme="minorHAnsi" w:hAnsiTheme="minorHAnsi" w:cstheme="minorHAnsi"/>
          <w:sz w:val="23"/>
          <w:szCs w:val="23"/>
        </w:rPr>
        <w:t xml:space="preserve">The ultimate aim of Heavy Vehicle Road Reform is to produce a more accountable, transparent, fair and efficient system for funding Australia’s roads and charging heavy vehicle operators for their road use. </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20"/>
        <w:gridCol w:w="6904"/>
      </w:tblGrid>
      <w:tr w:rsidR="005A408E" w:rsidRPr="008C0C87" w:rsidTr="008C683E">
        <w:tc>
          <w:tcPr>
            <w:tcW w:w="2122" w:type="dxa"/>
            <w:shd w:val="clear" w:color="auto" w:fill="0099CC"/>
          </w:tcPr>
          <w:p w:rsidR="005A408E" w:rsidRPr="008002E8" w:rsidRDefault="005A408E" w:rsidP="008C0C87">
            <w:pPr>
              <w:pStyle w:val="Default"/>
              <w:spacing w:before="120" w:after="120"/>
              <w:rPr>
                <w:rFonts w:ascii="Arial" w:hAnsi="Arial" w:cs="Arial"/>
                <w:color w:val="FFFFFF" w:themeColor="background1"/>
                <w:sz w:val="28"/>
                <w:szCs w:val="28"/>
              </w:rPr>
            </w:pPr>
            <w:r w:rsidRPr="008002E8">
              <w:rPr>
                <w:rFonts w:ascii="Arial" w:hAnsi="Arial" w:cs="Arial"/>
                <w:color w:val="FFFFFF" w:themeColor="background1"/>
                <w:sz w:val="28"/>
                <w:szCs w:val="28"/>
              </w:rPr>
              <w:t>Accountable</w:t>
            </w:r>
          </w:p>
        </w:tc>
        <w:tc>
          <w:tcPr>
            <w:tcW w:w="6938" w:type="dxa"/>
            <w:shd w:val="clear" w:color="auto" w:fill="DAEEF3" w:themeFill="accent5" w:themeFillTint="33"/>
          </w:tcPr>
          <w:p w:rsidR="005A408E" w:rsidRPr="008C0C87" w:rsidRDefault="005A408E" w:rsidP="008C0C87">
            <w:pPr>
              <w:pStyle w:val="Default"/>
              <w:spacing w:before="120" w:after="120"/>
              <w:rPr>
                <w:rFonts w:ascii="Arial" w:hAnsi="Arial" w:cs="Arial"/>
                <w:sz w:val="20"/>
                <w:szCs w:val="20"/>
              </w:rPr>
            </w:pPr>
            <w:r w:rsidRPr="008C0C87">
              <w:rPr>
                <w:rFonts w:ascii="Arial" w:hAnsi="Arial" w:cs="Arial"/>
                <w:sz w:val="20"/>
                <w:szCs w:val="20"/>
              </w:rPr>
              <w:t>Funding and investment decisions accountable to heavy vehicle road users</w:t>
            </w:r>
          </w:p>
        </w:tc>
      </w:tr>
      <w:tr w:rsidR="005A408E" w:rsidRPr="008C0C87" w:rsidTr="008C683E">
        <w:tc>
          <w:tcPr>
            <w:tcW w:w="2122" w:type="dxa"/>
            <w:shd w:val="clear" w:color="auto" w:fill="52E081"/>
          </w:tcPr>
          <w:p w:rsidR="005A408E" w:rsidRPr="008002E8" w:rsidRDefault="005A408E" w:rsidP="008C0C87">
            <w:pPr>
              <w:pStyle w:val="Default"/>
              <w:spacing w:before="120" w:after="120"/>
              <w:rPr>
                <w:rFonts w:ascii="Arial" w:hAnsi="Arial" w:cs="Arial"/>
                <w:color w:val="FFFFFF" w:themeColor="background1"/>
                <w:sz w:val="28"/>
                <w:szCs w:val="28"/>
              </w:rPr>
            </w:pPr>
            <w:r w:rsidRPr="008002E8">
              <w:rPr>
                <w:rFonts w:ascii="Arial" w:hAnsi="Arial" w:cs="Arial"/>
                <w:color w:val="FFFFFF" w:themeColor="background1"/>
                <w:sz w:val="28"/>
                <w:szCs w:val="28"/>
              </w:rPr>
              <w:t>Transparent</w:t>
            </w:r>
          </w:p>
        </w:tc>
        <w:tc>
          <w:tcPr>
            <w:tcW w:w="6938" w:type="dxa"/>
            <w:shd w:val="clear" w:color="auto" w:fill="CDFFE7"/>
          </w:tcPr>
          <w:p w:rsidR="005A408E" w:rsidRPr="008C0C87" w:rsidRDefault="005A408E" w:rsidP="008C0C87">
            <w:pPr>
              <w:pStyle w:val="Default"/>
              <w:spacing w:before="120" w:after="120"/>
              <w:rPr>
                <w:rFonts w:ascii="Arial" w:hAnsi="Arial" w:cs="Arial"/>
                <w:sz w:val="20"/>
                <w:szCs w:val="20"/>
              </w:rPr>
            </w:pPr>
            <w:r w:rsidRPr="008C0C87">
              <w:rPr>
                <w:rFonts w:ascii="Arial" w:hAnsi="Arial" w:cs="Arial"/>
                <w:sz w:val="20"/>
                <w:szCs w:val="20"/>
              </w:rPr>
              <w:t>Heavy vehicle road users can see how their charges are set and spent</w:t>
            </w:r>
          </w:p>
        </w:tc>
      </w:tr>
      <w:tr w:rsidR="005A408E" w:rsidRPr="008C0C87" w:rsidTr="00ED1A2E">
        <w:tc>
          <w:tcPr>
            <w:tcW w:w="2122" w:type="dxa"/>
            <w:shd w:val="clear" w:color="auto" w:fill="87F73B"/>
          </w:tcPr>
          <w:p w:rsidR="005A408E" w:rsidRPr="008002E8" w:rsidRDefault="005A408E" w:rsidP="008C0C87">
            <w:pPr>
              <w:pStyle w:val="Default"/>
              <w:spacing w:before="120" w:after="120"/>
              <w:rPr>
                <w:rFonts w:ascii="Arial" w:hAnsi="Arial" w:cs="Arial"/>
                <w:color w:val="FFFFFF" w:themeColor="background1"/>
                <w:sz w:val="28"/>
                <w:szCs w:val="28"/>
              </w:rPr>
            </w:pPr>
            <w:r w:rsidRPr="008002E8">
              <w:rPr>
                <w:rFonts w:ascii="Arial" w:hAnsi="Arial" w:cs="Arial"/>
                <w:color w:val="FFFFFF" w:themeColor="background1"/>
                <w:sz w:val="28"/>
                <w:szCs w:val="28"/>
              </w:rPr>
              <w:t>Fair</w:t>
            </w:r>
          </w:p>
        </w:tc>
        <w:tc>
          <w:tcPr>
            <w:tcW w:w="6938" w:type="dxa"/>
            <w:shd w:val="clear" w:color="auto" w:fill="E9FECE"/>
          </w:tcPr>
          <w:p w:rsidR="005A408E" w:rsidRPr="008C0C87" w:rsidRDefault="005A408E" w:rsidP="008C0C87">
            <w:pPr>
              <w:pStyle w:val="Default"/>
              <w:spacing w:before="120" w:after="120"/>
              <w:rPr>
                <w:rFonts w:ascii="Arial" w:hAnsi="Arial" w:cs="Arial"/>
                <w:sz w:val="20"/>
                <w:szCs w:val="20"/>
              </w:rPr>
            </w:pPr>
            <w:r w:rsidRPr="008C0C87">
              <w:rPr>
                <w:rFonts w:ascii="Arial" w:hAnsi="Arial" w:cs="Arial"/>
                <w:sz w:val="20"/>
                <w:szCs w:val="20"/>
              </w:rPr>
              <w:t>Heavy vehicle road users pay in proportion to their use of road assets</w:t>
            </w:r>
          </w:p>
        </w:tc>
      </w:tr>
      <w:tr w:rsidR="005A408E" w:rsidRPr="008C0C87" w:rsidTr="008C683E">
        <w:tc>
          <w:tcPr>
            <w:tcW w:w="2122" w:type="dxa"/>
            <w:shd w:val="clear" w:color="auto" w:fill="FF9933"/>
          </w:tcPr>
          <w:p w:rsidR="005A408E" w:rsidRPr="008002E8" w:rsidRDefault="005A408E" w:rsidP="008C0C87">
            <w:pPr>
              <w:pStyle w:val="Default"/>
              <w:spacing w:before="120" w:after="120"/>
              <w:rPr>
                <w:rFonts w:ascii="Arial" w:hAnsi="Arial" w:cs="Arial"/>
                <w:color w:val="FFFFFF" w:themeColor="background1"/>
                <w:sz w:val="28"/>
                <w:szCs w:val="28"/>
              </w:rPr>
            </w:pPr>
            <w:r w:rsidRPr="008002E8">
              <w:rPr>
                <w:rFonts w:ascii="Arial" w:hAnsi="Arial" w:cs="Arial"/>
                <w:color w:val="FFFFFF" w:themeColor="background1"/>
                <w:sz w:val="28"/>
                <w:szCs w:val="28"/>
              </w:rPr>
              <w:t>Efficient</w:t>
            </w:r>
          </w:p>
        </w:tc>
        <w:tc>
          <w:tcPr>
            <w:tcW w:w="6938" w:type="dxa"/>
            <w:shd w:val="clear" w:color="auto" w:fill="FDE9D9" w:themeFill="accent6" w:themeFillTint="33"/>
          </w:tcPr>
          <w:p w:rsidR="005A408E" w:rsidRPr="008C0C87" w:rsidRDefault="005A408E" w:rsidP="008C0C87">
            <w:pPr>
              <w:pStyle w:val="Default"/>
              <w:spacing w:before="120" w:after="120"/>
              <w:rPr>
                <w:rFonts w:ascii="Arial" w:hAnsi="Arial" w:cs="Arial"/>
                <w:sz w:val="20"/>
                <w:szCs w:val="20"/>
              </w:rPr>
            </w:pPr>
            <w:r w:rsidRPr="008C0C87">
              <w:rPr>
                <w:rFonts w:ascii="Arial" w:hAnsi="Arial" w:cs="Arial"/>
                <w:sz w:val="20"/>
                <w:szCs w:val="20"/>
              </w:rPr>
              <w:t>Funding is directed to investments that deliver the greatest benefit in the most efficient way. Asset use is optimised.</w:t>
            </w:r>
          </w:p>
        </w:tc>
      </w:tr>
    </w:tbl>
    <w:p w:rsidR="006B7DE6" w:rsidRDefault="006B7DE6" w:rsidP="00760E62">
      <w:pPr>
        <w:pStyle w:val="PPhdg2"/>
      </w:pPr>
      <w:bookmarkStart w:id="10" w:name="_Toc518908879"/>
    </w:p>
    <w:p w:rsidR="006B7DE6" w:rsidRDefault="006B7DE6" w:rsidP="00760E62">
      <w:pPr>
        <w:pStyle w:val="PPhdg2"/>
      </w:pPr>
    </w:p>
    <w:p w:rsidR="00A4009B" w:rsidRPr="00B1715C" w:rsidRDefault="00A4009B" w:rsidP="00760E62">
      <w:pPr>
        <w:pStyle w:val="PPhdg2"/>
      </w:pPr>
      <w:r w:rsidRPr="00B1715C">
        <w:t>Elements needed to realise Heavy Vehicle Road Reform</w:t>
      </w:r>
      <w:bookmarkEnd w:id="10"/>
    </w:p>
    <w:p w:rsidR="00A4009B" w:rsidRDefault="00A4009B" w:rsidP="00B45009">
      <w:pPr>
        <w:pStyle w:val="Default"/>
        <w:spacing w:before="240" w:after="240"/>
        <w:rPr>
          <w:rFonts w:asciiTheme="minorHAnsi" w:hAnsiTheme="minorHAnsi" w:cstheme="minorHAnsi"/>
          <w:sz w:val="23"/>
          <w:szCs w:val="23"/>
        </w:rPr>
      </w:pPr>
      <w:r w:rsidRPr="002F715F">
        <w:rPr>
          <w:rFonts w:asciiTheme="minorHAnsi" w:hAnsiTheme="minorHAnsi" w:cstheme="minorHAnsi"/>
          <w:sz w:val="23"/>
          <w:szCs w:val="23"/>
        </w:rPr>
        <w:t>There are five key elements needed to realise the full benefits of Heavy Vehicle Road Reform</w:t>
      </w:r>
      <w:r w:rsidR="002F715F">
        <w:rPr>
          <w:rFonts w:asciiTheme="minorHAnsi" w:hAnsiTheme="minorHAnsi" w:cstheme="minorHAnsi"/>
          <w:sz w:val="23"/>
          <w:szCs w:val="23"/>
        </w:rPr>
        <w:t>:</w:t>
      </w:r>
    </w:p>
    <w:tbl>
      <w:tblPr>
        <w:tblStyle w:val="TableGrid"/>
        <w:tblW w:w="0" w:type="auto"/>
        <w:tblLook w:val="04A0" w:firstRow="1" w:lastRow="0" w:firstColumn="1" w:lastColumn="0" w:noHBand="0" w:noVBand="1"/>
      </w:tblPr>
      <w:tblGrid>
        <w:gridCol w:w="2223"/>
        <w:gridCol w:w="2186"/>
        <w:gridCol w:w="2364"/>
        <w:gridCol w:w="2287"/>
      </w:tblGrid>
      <w:tr w:rsidR="00E448B4" w:rsidTr="00E448B4">
        <w:tc>
          <w:tcPr>
            <w:tcW w:w="2223" w:type="dxa"/>
            <w:shd w:val="clear" w:color="auto" w:fill="365F91" w:themeFill="accent1" w:themeFillShade="BF"/>
            <w:tcMar>
              <w:left w:w="57" w:type="dxa"/>
              <w:right w:w="57" w:type="dxa"/>
            </w:tcMar>
          </w:tcPr>
          <w:p w:rsidR="00E448B4" w:rsidRPr="00E448B4" w:rsidRDefault="00426195" w:rsidP="00904A1F">
            <w:pPr>
              <w:pStyle w:val="Default"/>
              <w:spacing w:before="40" w:after="40"/>
              <w:jc w:val="center"/>
              <w:rPr>
                <w:rFonts w:ascii="Arial" w:hAnsi="Arial" w:cs="Arial"/>
                <w:color w:val="FFFFFF" w:themeColor="background1"/>
                <w:sz w:val="18"/>
                <w:szCs w:val="18"/>
              </w:rPr>
            </w:pPr>
            <w:r w:rsidRPr="00E448B4">
              <w:rPr>
                <w:rFonts w:ascii="Arial" w:hAnsi="Arial" w:cs="Arial"/>
                <w:b/>
                <w:bCs/>
                <w:color w:val="FFFFFF" w:themeColor="background1"/>
                <w:sz w:val="18"/>
                <w:szCs w:val="18"/>
              </w:rPr>
              <w:t>User-focused level of service framework, to set required service provision for all roads (including less travelled)</w:t>
            </w:r>
          </w:p>
        </w:tc>
        <w:tc>
          <w:tcPr>
            <w:tcW w:w="2186" w:type="dxa"/>
            <w:shd w:val="clear" w:color="auto" w:fill="365F91" w:themeFill="accent1" w:themeFillShade="BF"/>
          </w:tcPr>
          <w:p w:rsidR="00E448B4" w:rsidRPr="00E448B4" w:rsidRDefault="00426195" w:rsidP="00904A1F">
            <w:pPr>
              <w:pStyle w:val="Default"/>
              <w:spacing w:before="40" w:after="40"/>
              <w:jc w:val="center"/>
              <w:rPr>
                <w:rFonts w:ascii="Arial" w:hAnsi="Arial" w:cs="Arial"/>
                <w:color w:val="FFFFFF" w:themeColor="background1"/>
                <w:sz w:val="18"/>
                <w:szCs w:val="18"/>
              </w:rPr>
            </w:pPr>
            <w:r w:rsidRPr="00E448B4">
              <w:rPr>
                <w:rFonts w:ascii="Arial" w:hAnsi="Arial" w:cs="Arial"/>
                <w:b/>
                <w:bCs/>
                <w:color w:val="FFFFFF" w:themeColor="background1"/>
                <w:sz w:val="18"/>
                <w:szCs w:val="18"/>
              </w:rPr>
              <w:t>Road authorities are authorised and accountable for investments to deliver those service levels</w:t>
            </w:r>
          </w:p>
        </w:tc>
        <w:tc>
          <w:tcPr>
            <w:tcW w:w="2364" w:type="dxa"/>
            <w:shd w:val="clear" w:color="auto" w:fill="365F91" w:themeFill="accent1" w:themeFillShade="BF"/>
          </w:tcPr>
          <w:p w:rsidR="00E448B4" w:rsidRPr="00E448B4" w:rsidRDefault="00426195" w:rsidP="00904A1F">
            <w:pPr>
              <w:pStyle w:val="Default"/>
              <w:spacing w:before="40" w:after="40"/>
              <w:jc w:val="center"/>
              <w:rPr>
                <w:rFonts w:ascii="Arial" w:hAnsi="Arial" w:cs="Arial"/>
                <w:color w:val="FFFFFF" w:themeColor="background1"/>
                <w:sz w:val="18"/>
                <w:szCs w:val="18"/>
              </w:rPr>
            </w:pPr>
            <w:r w:rsidRPr="00E448B4">
              <w:rPr>
                <w:rFonts w:ascii="Arial" w:hAnsi="Arial" w:cs="Arial"/>
                <w:b/>
                <w:bCs/>
                <w:color w:val="FFFFFF" w:themeColor="background1"/>
                <w:sz w:val="18"/>
                <w:szCs w:val="18"/>
              </w:rPr>
              <w:t>Independent oversight ensures fair and efficient price setting to recover that investment</w:t>
            </w:r>
          </w:p>
        </w:tc>
        <w:tc>
          <w:tcPr>
            <w:tcW w:w="2287" w:type="dxa"/>
            <w:shd w:val="clear" w:color="auto" w:fill="365F91" w:themeFill="accent1" w:themeFillShade="BF"/>
          </w:tcPr>
          <w:p w:rsidR="00E448B4" w:rsidRPr="00E448B4" w:rsidRDefault="00426195" w:rsidP="00904A1F">
            <w:pPr>
              <w:pStyle w:val="Default"/>
              <w:spacing w:before="40" w:after="40"/>
              <w:jc w:val="center"/>
              <w:rPr>
                <w:rFonts w:ascii="Arial" w:hAnsi="Arial" w:cs="Arial"/>
                <w:color w:val="FFFFFF" w:themeColor="background1"/>
                <w:sz w:val="18"/>
                <w:szCs w:val="18"/>
              </w:rPr>
            </w:pPr>
            <w:r w:rsidRPr="00E448B4">
              <w:rPr>
                <w:rFonts w:ascii="Arial" w:hAnsi="Arial" w:cs="Arial"/>
                <w:b/>
                <w:bCs/>
                <w:color w:val="FFFFFF" w:themeColor="background1"/>
                <w:sz w:val="18"/>
                <w:szCs w:val="18"/>
              </w:rPr>
              <w:t>Funding arrangements in place to ensure revenues are delivered to road authorities</w:t>
            </w:r>
          </w:p>
        </w:tc>
      </w:tr>
      <w:tr w:rsidR="00E448B4" w:rsidTr="00904A1F">
        <w:tc>
          <w:tcPr>
            <w:tcW w:w="2223" w:type="dxa"/>
            <w:shd w:val="clear" w:color="auto" w:fill="DBE5F1" w:themeFill="accent1" w:themeFillTint="33"/>
            <w:tcMar>
              <w:left w:w="57" w:type="dxa"/>
              <w:right w:w="57" w:type="dxa"/>
            </w:tcMar>
          </w:tcPr>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 xml:space="preserve">Governments define level of service (such as heavy vehicle access) requirements in a way that drives the right amount of road investment. </w:t>
            </w:r>
          </w:p>
          <w:p w:rsidR="00E448B4"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Users have input into those service standards, to ensure standards match their preferred trade-off between service and cost.</w:t>
            </w:r>
          </w:p>
        </w:tc>
        <w:tc>
          <w:tcPr>
            <w:tcW w:w="2186" w:type="dxa"/>
            <w:shd w:val="clear" w:color="auto" w:fill="DBE5F1" w:themeFill="accent1" w:themeFillTint="33"/>
          </w:tcPr>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Capital expenditure and maintenance activities are targeted to high benefit areas.</w:t>
            </w:r>
          </w:p>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 xml:space="preserve">Road authorities are accountable to heavy vehicle road users and end-users. </w:t>
            </w:r>
          </w:p>
          <w:p w:rsidR="00E448B4"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Heavy vehicle operators and industry have input into investment decisions, providing better signals to road managers about what they should invest in.</w:t>
            </w:r>
          </w:p>
        </w:tc>
        <w:tc>
          <w:tcPr>
            <w:tcW w:w="2364" w:type="dxa"/>
            <w:shd w:val="clear" w:color="auto" w:fill="DBE5F1" w:themeFill="accent1" w:themeFillTint="33"/>
          </w:tcPr>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Charges are set to reflect the efficient cost of managing roads over the life of road assets, independent of budgetary and political considerations.</w:t>
            </w:r>
          </w:p>
          <w:p w:rsidR="00E448B4"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Independent oversight of investments and service levels will provide heavy vehicle operators with a predictable path for charges, improving decision making and delivering economic and safety benefits.</w:t>
            </w:r>
          </w:p>
        </w:tc>
        <w:tc>
          <w:tcPr>
            <w:tcW w:w="2287" w:type="dxa"/>
            <w:shd w:val="clear" w:color="auto" w:fill="DBE5F1" w:themeFill="accent1" w:themeFillTint="33"/>
          </w:tcPr>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Heavy vehicle operators can see how charges are reinvested in infrastructure.</w:t>
            </w:r>
          </w:p>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Road managers can see where revenue is coming from and respond to customer preferences.</w:t>
            </w:r>
          </w:p>
          <w:p w:rsidR="00E448B4"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Funding provisions are in place for less-travelled roads and community service obligations are delivered against level of service requirements</w:t>
            </w:r>
            <w:r w:rsidR="00E448B4" w:rsidRPr="00E448B4">
              <w:rPr>
                <w:rFonts w:ascii="Arial" w:hAnsi="Arial" w:cs="Arial"/>
                <w:sz w:val="18"/>
                <w:szCs w:val="18"/>
              </w:rPr>
              <w:t>.</w:t>
            </w:r>
          </w:p>
        </w:tc>
      </w:tr>
      <w:tr w:rsidR="00E448B4" w:rsidTr="00904A1F">
        <w:tc>
          <w:tcPr>
            <w:tcW w:w="9060" w:type="dxa"/>
            <w:gridSpan w:val="4"/>
            <w:shd w:val="clear" w:color="auto" w:fill="365F91" w:themeFill="accent1" w:themeFillShade="BF"/>
            <w:tcMar>
              <w:left w:w="57" w:type="dxa"/>
              <w:right w:w="57" w:type="dxa"/>
            </w:tcMar>
          </w:tcPr>
          <w:p w:rsidR="00E448B4" w:rsidRPr="00904A1F" w:rsidRDefault="00426195" w:rsidP="00904A1F">
            <w:pPr>
              <w:pStyle w:val="Default"/>
              <w:spacing w:before="60" w:after="60"/>
              <w:jc w:val="center"/>
              <w:rPr>
                <w:rFonts w:ascii="Arial" w:hAnsi="Arial" w:cs="Arial"/>
                <w:b/>
                <w:bCs/>
                <w:color w:val="FFFFFF" w:themeColor="background1"/>
                <w:sz w:val="18"/>
                <w:szCs w:val="18"/>
              </w:rPr>
            </w:pPr>
            <w:r w:rsidRPr="00904A1F">
              <w:rPr>
                <w:rFonts w:ascii="Arial" w:hAnsi="Arial" w:cs="Arial"/>
                <w:b/>
                <w:bCs/>
                <w:color w:val="FFFFFF" w:themeColor="background1"/>
                <w:sz w:val="18"/>
                <w:szCs w:val="18"/>
              </w:rPr>
              <w:t>Access to better data about roads and road expenditure</w:t>
            </w:r>
          </w:p>
        </w:tc>
      </w:tr>
      <w:tr w:rsidR="00E448B4" w:rsidTr="00904A1F">
        <w:tc>
          <w:tcPr>
            <w:tcW w:w="9060" w:type="dxa"/>
            <w:gridSpan w:val="4"/>
            <w:shd w:val="clear" w:color="auto" w:fill="DBE5F1" w:themeFill="accent1" w:themeFillTint="33"/>
            <w:tcMar>
              <w:left w:w="57" w:type="dxa"/>
              <w:right w:w="57" w:type="dxa"/>
            </w:tcMar>
          </w:tcPr>
          <w:p w:rsidR="00EB6D9E"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 xml:space="preserve">Good road-related data will underpin all elements, and lead to better-informed regulatory, pricing, funding and investment decision-making. </w:t>
            </w:r>
          </w:p>
          <w:p w:rsidR="00E448B4" w:rsidRPr="00E448B4" w:rsidRDefault="00426195" w:rsidP="00426195">
            <w:pPr>
              <w:pStyle w:val="Default"/>
              <w:numPr>
                <w:ilvl w:val="0"/>
                <w:numId w:val="5"/>
              </w:numPr>
              <w:spacing w:before="60" w:after="60"/>
              <w:rPr>
                <w:rFonts w:ascii="Arial" w:hAnsi="Arial" w:cs="Arial"/>
                <w:sz w:val="18"/>
                <w:szCs w:val="18"/>
              </w:rPr>
            </w:pPr>
            <w:r w:rsidRPr="00E448B4">
              <w:rPr>
                <w:rFonts w:ascii="Arial" w:hAnsi="Arial" w:cs="Arial"/>
                <w:sz w:val="18"/>
                <w:szCs w:val="18"/>
              </w:rPr>
              <w:t>In time, access to better data through new technologies will enable the independent overseer to set more cost-reflective road charges, and more accurately assess investment needs and funding requirements.</w:t>
            </w:r>
          </w:p>
        </w:tc>
      </w:tr>
    </w:tbl>
    <w:p w:rsidR="00A4009B" w:rsidRPr="006B7DE6" w:rsidRDefault="00A4009B" w:rsidP="001A707C">
      <w:pPr>
        <w:pStyle w:val="PPhdg1"/>
        <w:spacing w:after="0"/>
        <w:rPr>
          <w:sz w:val="16"/>
          <w:szCs w:val="16"/>
        </w:rPr>
      </w:pPr>
      <w:bookmarkStart w:id="11" w:name="_Toc518908880"/>
      <w:r w:rsidRPr="0068651C">
        <w:t>What could a new system look like?</w:t>
      </w:r>
      <w:bookmarkEnd w:id="11"/>
      <w:r w:rsidR="006B7DE6">
        <w:br/>
      </w:r>
    </w:p>
    <w:p w:rsidR="00834670" w:rsidRDefault="00834670" w:rsidP="00834670">
      <w:pPr>
        <w:spacing w:after="0" w:line="240" w:lineRule="auto"/>
        <w:jc w:val="center"/>
        <w:rPr>
          <w:rFonts w:asciiTheme="minorHAnsi" w:hAnsiTheme="minorHAnsi" w:cstheme="minorHAnsi"/>
          <w:sz w:val="23"/>
          <w:szCs w:val="23"/>
        </w:rPr>
      </w:pPr>
      <w:r>
        <w:rPr>
          <w:noProof/>
          <w:lang w:eastAsia="en-AU"/>
        </w:rPr>
        <w:drawing>
          <wp:inline distT="0" distB="0" distL="0" distR="0" wp14:anchorId="4AF1C1B3" wp14:editId="56EE64D9">
            <wp:extent cx="3648075" cy="3627827"/>
            <wp:effectExtent l="0" t="0" r="0" b="0"/>
            <wp:docPr id="4" name="Picture 4" descr="Diagram 2" title="Diagram a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2087_STP_HVC_FULL_REFORM_0214_v1.jpg"/>
                    <pic:cNvPicPr/>
                  </pic:nvPicPr>
                  <pic:blipFill>
                    <a:blip r:embed="rId14">
                      <a:extLst>
                        <a:ext uri="{28A0092B-C50C-407E-A947-70E740481C1C}">
                          <a14:useLocalDpi xmlns:a14="http://schemas.microsoft.com/office/drawing/2010/main" val="0"/>
                        </a:ext>
                      </a:extLst>
                    </a:blip>
                    <a:stretch>
                      <a:fillRect/>
                    </a:stretch>
                  </pic:blipFill>
                  <pic:spPr>
                    <a:xfrm>
                      <a:off x="0" y="0"/>
                      <a:ext cx="3694269" cy="3673765"/>
                    </a:xfrm>
                    <a:prstGeom prst="rect">
                      <a:avLst/>
                    </a:prstGeom>
                  </pic:spPr>
                </pic:pic>
              </a:graphicData>
            </a:graphic>
          </wp:inline>
        </w:drawing>
      </w:r>
    </w:p>
    <w:p w:rsidR="00834670" w:rsidRDefault="00834670" w:rsidP="00834670">
      <w:pPr>
        <w:spacing w:after="0" w:line="240" w:lineRule="auto"/>
        <w:rPr>
          <w:rFonts w:asciiTheme="minorHAnsi" w:hAnsiTheme="minorHAnsi" w:cstheme="minorHAnsi"/>
          <w:sz w:val="23"/>
          <w:szCs w:val="23"/>
        </w:rPr>
      </w:pPr>
    </w:p>
    <w:p w:rsidR="00A4009B" w:rsidRPr="00834670" w:rsidRDefault="00A4009B" w:rsidP="00834670">
      <w:pPr>
        <w:spacing w:after="0" w:line="240" w:lineRule="auto"/>
        <w:rPr>
          <w:rFonts w:cstheme="minorHAnsi"/>
          <w:lang w:val="en-US"/>
        </w:rPr>
      </w:pPr>
      <w:r w:rsidRPr="001A707C">
        <w:rPr>
          <w:rFonts w:asciiTheme="minorHAnsi" w:hAnsiTheme="minorHAnsi" w:cstheme="minorHAnsi"/>
          <w:sz w:val="23"/>
          <w:szCs w:val="23"/>
        </w:rPr>
        <w:t xml:space="preserve">Advantages </w:t>
      </w:r>
      <w:r w:rsidR="001A707C">
        <w:rPr>
          <w:rFonts w:asciiTheme="minorHAnsi" w:hAnsiTheme="minorHAnsi" w:cstheme="minorHAnsi"/>
          <w:sz w:val="23"/>
          <w:szCs w:val="23"/>
        </w:rPr>
        <w:t xml:space="preserve">of </w:t>
      </w:r>
      <w:r w:rsidR="00364C3B">
        <w:rPr>
          <w:rFonts w:asciiTheme="minorHAnsi" w:hAnsiTheme="minorHAnsi" w:cstheme="minorHAnsi"/>
          <w:sz w:val="23"/>
          <w:szCs w:val="23"/>
        </w:rPr>
        <w:t>a</w:t>
      </w:r>
      <w:r w:rsidR="001A707C">
        <w:rPr>
          <w:rFonts w:asciiTheme="minorHAnsi" w:hAnsiTheme="minorHAnsi" w:cstheme="minorHAnsi"/>
          <w:sz w:val="23"/>
          <w:szCs w:val="23"/>
        </w:rPr>
        <w:t xml:space="preserve"> new system:</w:t>
      </w:r>
    </w:p>
    <w:p w:rsidR="00A4009B" w:rsidRPr="00992E28" w:rsidRDefault="00A4009B">
      <w:pPr>
        <w:pStyle w:val="ListParagraph"/>
        <w:rPr>
          <w:sz w:val="23"/>
          <w:szCs w:val="23"/>
        </w:rPr>
      </w:pPr>
      <w:r w:rsidRPr="00992E28">
        <w:rPr>
          <w:sz w:val="23"/>
          <w:szCs w:val="23"/>
        </w:rPr>
        <w:t xml:space="preserve">Charges will reflect each user’s share of road costs. </w:t>
      </w:r>
    </w:p>
    <w:p w:rsidR="00A4009B" w:rsidRPr="00992E28" w:rsidRDefault="00A4009B">
      <w:pPr>
        <w:pStyle w:val="ListParagraph"/>
        <w:rPr>
          <w:sz w:val="23"/>
          <w:szCs w:val="23"/>
        </w:rPr>
      </w:pPr>
      <w:r w:rsidRPr="00992E28">
        <w:rPr>
          <w:sz w:val="23"/>
          <w:szCs w:val="23"/>
        </w:rPr>
        <w:t xml:space="preserve">Road owners have a direct incentive to invest in meeting heavy vehicle users' needs. </w:t>
      </w:r>
    </w:p>
    <w:p w:rsidR="00A4009B" w:rsidRPr="00992E28" w:rsidRDefault="00A4009B">
      <w:pPr>
        <w:pStyle w:val="ListParagraph"/>
        <w:rPr>
          <w:sz w:val="23"/>
          <w:szCs w:val="23"/>
        </w:rPr>
      </w:pPr>
      <w:r w:rsidRPr="00992E28">
        <w:rPr>
          <w:sz w:val="23"/>
          <w:szCs w:val="23"/>
        </w:rPr>
        <w:t xml:space="preserve">Usage data will support better planning and investment decision making. </w:t>
      </w:r>
    </w:p>
    <w:p w:rsidR="00A4009B" w:rsidRPr="00992E28" w:rsidRDefault="00A4009B">
      <w:pPr>
        <w:pStyle w:val="ListParagraph"/>
        <w:rPr>
          <w:sz w:val="23"/>
          <w:szCs w:val="23"/>
        </w:rPr>
      </w:pPr>
      <w:r w:rsidRPr="00992E28">
        <w:rPr>
          <w:sz w:val="23"/>
          <w:szCs w:val="23"/>
        </w:rPr>
        <w:t xml:space="preserve">Secure funding will help maximise efficient lifecycle management of road assets, reducing costs. </w:t>
      </w:r>
    </w:p>
    <w:p w:rsidR="00A4009B" w:rsidRPr="00992E28" w:rsidRDefault="00A4009B">
      <w:pPr>
        <w:pStyle w:val="ListParagraph"/>
        <w:rPr>
          <w:sz w:val="23"/>
          <w:szCs w:val="23"/>
        </w:rPr>
      </w:pPr>
      <w:r w:rsidRPr="00992E28">
        <w:rPr>
          <w:sz w:val="23"/>
          <w:szCs w:val="23"/>
        </w:rPr>
        <w:t xml:space="preserve">Independent economic regulation will ensure the 'right truck on the right road at the right time'. </w:t>
      </w:r>
    </w:p>
    <w:p w:rsidR="00A4009B" w:rsidRPr="00992E28" w:rsidRDefault="00A4009B">
      <w:pPr>
        <w:pStyle w:val="ListParagraph"/>
        <w:rPr>
          <w:sz w:val="23"/>
          <w:szCs w:val="23"/>
        </w:rPr>
      </w:pPr>
      <w:r w:rsidRPr="00992E28">
        <w:rPr>
          <w:sz w:val="23"/>
          <w:szCs w:val="23"/>
        </w:rPr>
        <w:t>Allows for transparent government funding on community service obligations.</w:t>
      </w:r>
    </w:p>
    <w:p w:rsidR="00A4009B" w:rsidRPr="001A707C" w:rsidRDefault="00A4009B" w:rsidP="001A707C">
      <w:pPr>
        <w:pStyle w:val="Default"/>
        <w:spacing w:before="240" w:after="240"/>
        <w:rPr>
          <w:rFonts w:asciiTheme="minorHAnsi" w:hAnsiTheme="minorHAnsi" w:cstheme="minorHAnsi"/>
          <w:sz w:val="23"/>
          <w:szCs w:val="23"/>
        </w:rPr>
      </w:pPr>
      <w:r w:rsidRPr="001A707C">
        <w:rPr>
          <w:rFonts w:asciiTheme="minorHAnsi" w:hAnsiTheme="minorHAnsi" w:cstheme="minorHAnsi"/>
          <w:sz w:val="23"/>
          <w:szCs w:val="23"/>
        </w:rPr>
        <w:t xml:space="preserve">As a longer-term priority, it will also be important to consider </w:t>
      </w:r>
      <w:r w:rsidR="00313037">
        <w:rPr>
          <w:rFonts w:asciiTheme="minorHAnsi" w:hAnsiTheme="minorHAnsi" w:cstheme="minorHAnsi"/>
          <w:sz w:val="23"/>
          <w:szCs w:val="23"/>
        </w:rPr>
        <w:t>the way the provision of road services to Australians driving light vehicles (97 per cent of vehicles in the national fleet</w:t>
      </w:r>
      <w:r w:rsidR="00085BC3">
        <w:rPr>
          <w:rStyle w:val="FootnoteReference"/>
          <w:rFonts w:asciiTheme="minorHAnsi" w:hAnsiTheme="minorHAnsi" w:cstheme="minorHAnsi"/>
          <w:sz w:val="23"/>
          <w:szCs w:val="23"/>
        </w:rPr>
        <w:footnoteReference w:id="4"/>
      </w:r>
      <w:r w:rsidR="00313037">
        <w:rPr>
          <w:rFonts w:asciiTheme="minorHAnsi" w:hAnsiTheme="minorHAnsi" w:cstheme="minorHAnsi"/>
          <w:sz w:val="23"/>
          <w:szCs w:val="23"/>
        </w:rPr>
        <w:t>) is funded. However, that is not the subject of the current reform process involving heavy vehicles</w:t>
      </w:r>
      <w:r w:rsidRPr="001A707C">
        <w:rPr>
          <w:rFonts w:asciiTheme="minorHAnsi" w:hAnsiTheme="minorHAnsi" w:cstheme="minorHAnsi"/>
          <w:sz w:val="23"/>
          <w:szCs w:val="23"/>
        </w:rPr>
        <w:t>.</w:t>
      </w:r>
    </w:p>
    <w:p w:rsidR="00A4009B" w:rsidRPr="0068651C" w:rsidRDefault="00A4009B" w:rsidP="0068651C">
      <w:pPr>
        <w:pStyle w:val="PPhdg1"/>
      </w:pPr>
      <w:bookmarkStart w:id="12" w:name="_Toc518908881"/>
      <w:r w:rsidRPr="0068651C">
        <w:t xml:space="preserve">Heavy </w:t>
      </w:r>
      <w:r w:rsidR="0031053B">
        <w:t>V</w:t>
      </w:r>
      <w:r w:rsidRPr="0068651C">
        <w:t xml:space="preserve">ehicle </w:t>
      </w:r>
      <w:r w:rsidR="0031053B">
        <w:t>R</w:t>
      </w:r>
      <w:r w:rsidRPr="0068651C">
        <w:t xml:space="preserve">oad </w:t>
      </w:r>
      <w:r w:rsidR="0031053B">
        <w:t>R</w:t>
      </w:r>
      <w:r w:rsidRPr="0068651C">
        <w:t>eform</w:t>
      </w:r>
      <w:r w:rsidR="00963B38">
        <w:t>: R</w:t>
      </w:r>
      <w:r w:rsidRPr="0068651C">
        <w:t>oad</w:t>
      </w:r>
      <w:r w:rsidR="00FB6CF6">
        <w:t xml:space="preserve"> </w:t>
      </w:r>
      <w:r w:rsidRPr="0068651C">
        <w:t>map and progress to date</w:t>
      </w:r>
      <w:bookmarkEnd w:id="12"/>
      <w:r w:rsidRPr="0068651C">
        <w:t xml:space="preserve"> </w:t>
      </w:r>
    </w:p>
    <w:p w:rsidR="00A4009B" w:rsidRPr="008362DB" w:rsidRDefault="00A4009B" w:rsidP="00F02A21">
      <w:pPr>
        <w:pStyle w:val="Default"/>
        <w:spacing w:before="240" w:after="240"/>
        <w:rPr>
          <w:rFonts w:asciiTheme="minorHAnsi" w:hAnsiTheme="minorHAnsi" w:cstheme="minorHAnsi"/>
          <w:sz w:val="23"/>
          <w:szCs w:val="23"/>
        </w:rPr>
      </w:pPr>
      <w:r w:rsidRPr="008362DB">
        <w:rPr>
          <w:rFonts w:asciiTheme="minorHAnsi" w:hAnsiTheme="minorHAnsi" w:cstheme="minorHAnsi"/>
          <w:sz w:val="23"/>
          <w:szCs w:val="23"/>
        </w:rPr>
        <w:t xml:space="preserve">Shifting to a system where heavy vehicle infrastructure is provided as an economic service </w:t>
      </w:r>
      <w:r w:rsidR="00F7071B">
        <w:rPr>
          <w:rFonts w:asciiTheme="minorHAnsi" w:hAnsiTheme="minorHAnsi" w:cstheme="minorHAnsi"/>
          <w:sz w:val="23"/>
          <w:szCs w:val="23"/>
        </w:rPr>
        <w:t>is</w:t>
      </w:r>
      <w:r w:rsidRPr="008362DB">
        <w:rPr>
          <w:rFonts w:asciiTheme="minorHAnsi" w:hAnsiTheme="minorHAnsi" w:cstheme="minorHAnsi"/>
          <w:sz w:val="23"/>
          <w:szCs w:val="23"/>
        </w:rPr>
        <w:t xml:space="preserve"> complex and </w:t>
      </w:r>
      <w:r w:rsidR="00F7071B">
        <w:rPr>
          <w:rFonts w:asciiTheme="minorHAnsi" w:hAnsiTheme="minorHAnsi" w:cstheme="minorHAnsi"/>
          <w:sz w:val="23"/>
          <w:szCs w:val="23"/>
        </w:rPr>
        <w:t xml:space="preserve">will </w:t>
      </w:r>
      <w:r w:rsidRPr="008362DB">
        <w:rPr>
          <w:rFonts w:asciiTheme="minorHAnsi" w:hAnsiTheme="minorHAnsi" w:cstheme="minorHAnsi"/>
          <w:sz w:val="23"/>
          <w:szCs w:val="23"/>
        </w:rPr>
        <w:t xml:space="preserve">take time to implement. The reform requires substantial </w:t>
      </w:r>
      <w:r w:rsidR="00F7071B">
        <w:rPr>
          <w:rFonts w:asciiTheme="minorHAnsi" w:hAnsiTheme="minorHAnsi" w:cstheme="minorHAnsi"/>
          <w:sz w:val="23"/>
          <w:szCs w:val="23"/>
        </w:rPr>
        <w:t xml:space="preserve">change by governments and industry to </w:t>
      </w:r>
      <w:r w:rsidRPr="008362DB">
        <w:rPr>
          <w:rFonts w:asciiTheme="minorHAnsi" w:hAnsiTheme="minorHAnsi" w:cstheme="minorHAnsi"/>
          <w:sz w:val="23"/>
          <w:szCs w:val="23"/>
        </w:rPr>
        <w:t xml:space="preserve">policy, financial, institutional and governance </w:t>
      </w:r>
      <w:r w:rsidR="00F7071B">
        <w:rPr>
          <w:rFonts w:asciiTheme="minorHAnsi" w:hAnsiTheme="minorHAnsi" w:cstheme="minorHAnsi"/>
          <w:sz w:val="23"/>
          <w:szCs w:val="23"/>
        </w:rPr>
        <w:t>arrangements</w:t>
      </w:r>
      <w:r w:rsidRPr="008362DB">
        <w:rPr>
          <w:rFonts w:asciiTheme="minorHAnsi" w:hAnsiTheme="minorHAnsi" w:cstheme="minorHAnsi"/>
          <w:sz w:val="23"/>
          <w:szCs w:val="23"/>
        </w:rPr>
        <w:t xml:space="preserve">. In addition, heavy vehicle users, and the industry more broadly, will need to understand and participate in new investment decision making and charge setting processes. </w:t>
      </w:r>
    </w:p>
    <w:p w:rsidR="00A4009B" w:rsidRPr="00F02A21" w:rsidRDefault="00A4009B" w:rsidP="00F02A21">
      <w:pPr>
        <w:pStyle w:val="Default"/>
        <w:spacing w:before="240" w:after="240"/>
        <w:rPr>
          <w:rFonts w:asciiTheme="minorHAnsi" w:hAnsiTheme="minorHAnsi" w:cstheme="minorHAnsi"/>
          <w:sz w:val="23"/>
          <w:szCs w:val="23"/>
        </w:rPr>
      </w:pPr>
      <w:r w:rsidRPr="00F02A21">
        <w:rPr>
          <w:rFonts w:asciiTheme="minorHAnsi" w:hAnsiTheme="minorHAnsi" w:cstheme="minorHAnsi"/>
          <w:sz w:val="23"/>
          <w:szCs w:val="23"/>
        </w:rPr>
        <w:t xml:space="preserve">In May 2015, the Transport and Infrastructure Council endorsed a phased road map for </w:t>
      </w:r>
      <w:r w:rsidR="001E0EBC">
        <w:rPr>
          <w:rFonts w:asciiTheme="minorHAnsi" w:hAnsiTheme="minorHAnsi" w:cstheme="minorHAnsi"/>
          <w:sz w:val="23"/>
          <w:szCs w:val="23"/>
        </w:rPr>
        <w:t>Heavy Vehicle Road Reform</w:t>
      </w:r>
      <w:r w:rsidRPr="00F02A21">
        <w:rPr>
          <w:rFonts w:asciiTheme="minorHAnsi" w:hAnsiTheme="minorHAnsi" w:cstheme="minorHAnsi"/>
          <w:sz w:val="23"/>
          <w:szCs w:val="23"/>
        </w:rPr>
        <w:t xml:space="preserve">. In December 2015, the Council of Australian Governments directed transport ministers to accelerate </w:t>
      </w:r>
      <w:r w:rsidR="001E0EBC">
        <w:rPr>
          <w:rFonts w:asciiTheme="minorHAnsi" w:hAnsiTheme="minorHAnsi" w:cstheme="minorHAnsi"/>
          <w:sz w:val="23"/>
          <w:szCs w:val="23"/>
        </w:rPr>
        <w:t>Heavy Vehicle Road Reform</w:t>
      </w:r>
      <w:r w:rsidRPr="00F02A21">
        <w:rPr>
          <w:rFonts w:asciiTheme="minorHAnsi" w:hAnsiTheme="minorHAnsi" w:cstheme="minorHAnsi"/>
          <w:sz w:val="23"/>
          <w:szCs w:val="23"/>
        </w:rPr>
        <w:t>.</w:t>
      </w:r>
    </w:p>
    <w:p w:rsidR="00A4009B" w:rsidRPr="00963B38" w:rsidRDefault="00963B38" w:rsidP="00963B38">
      <w:pPr>
        <w:pStyle w:val="PPhdg2"/>
      </w:pPr>
      <w:bookmarkStart w:id="13" w:name="_Toc518908882"/>
      <w:r w:rsidRPr="00963B38">
        <w:t>The H</w:t>
      </w:r>
      <w:r w:rsidR="0031053B">
        <w:t xml:space="preserve">eavy </w:t>
      </w:r>
      <w:r w:rsidRPr="00963B38">
        <w:t>V</w:t>
      </w:r>
      <w:r w:rsidR="0031053B">
        <w:t xml:space="preserve">ehicle </w:t>
      </w:r>
      <w:r w:rsidRPr="00963B38">
        <w:t>R</w:t>
      </w:r>
      <w:r w:rsidR="0031053B">
        <w:t xml:space="preserve">oad </w:t>
      </w:r>
      <w:r w:rsidRPr="00963B38">
        <w:t>R</w:t>
      </w:r>
      <w:r w:rsidR="0031053B">
        <w:t>eform</w:t>
      </w:r>
      <w:r w:rsidRPr="00963B38">
        <w:t xml:space="preserve"> road map</w:t>
      </w:r>
      <w:bookmarkEnd w:id="13"/>
    </w:p>
    <w:p w:rsidR="00A4009B" w:rsidRPr="0084164C" w:rsidRDefault="001E0EBC" w:rsidP="0084164C">
      <w:pPr>
        <w:pStyle w:val="Default"/>
        <w:spacing w:before="240" w:after="240"/>
        <w:rPr>
          <w:rFonts w:asciiTheme="minorHAnsi" w:hAnsiTheme="minorHAnsi" w:cstheme="minorHAnsi"/>
          <w:sz w:val="23"/>
          <w:szCs w:val="23"/>
        </w:rPr>
      </w:pPr>
      <w:r>
        <w:rPr>
          <w:rFonts w:asciiTheme="minorHAnsi" w:hAnsiTheme="minorHAnsi" w:cstheme="minorHAnsi"/>
          <w:sz w:val="23"/>
          <w:szCs w:val="23"/>
        </w:rPr>
        <w:t>The</w:t>
      </w:r>
      <w:r w:rsidR="00A4009B" w:rsidRPr="0084164C">
        <w:rPr>
          <w:rFonts w:asciiTheme="minorHAnsi" w:hAnsiTheme="minorHAnsi" w:cstheme="minorHAnsi"/>
          <w:sz w:val="23"/>
          <w:szCs w:val="23"/>
        </w:rPr>
        <w:t xml:space="preserve"> road map for </w:t>
      </w:r>
      <w:r>
        <w:rPr>
          <w:rFonts w:asciiTheme="minorHAnsi" w:hAnsiTheme="minorHAnsi" w:cstheme="minorHAnsi"/>
          <w:sz w:val="23"/>
          <w:szCs w:val="23"/>
        </w:rPr>
        <w:t>Heavy Vehicle Road Reform</w:t>
      </w:r>
      <w:r w:rsidRPr="0084164C">
        <w:rPr>
          <w:rFonts w:asciiTheme="minorHAnsi" w:hAnsiTheme="minorHAnsi" w:cstheme="minorHAnsi"/>
          <w:sz w:val="23"/>
          <w:szCs w:val="23"/>
        </w:rPr>
        <w:t xml:space="preserve"> </w:t>
      </w:r>
      <w:r w:rsidR="00A4009B" w:rsidRPr="0084164C">
        <w:rPr>
          <w:rFonts w:asciiTheme="minorHAnsi" w:hAnsiTheme="minorHAnsi" w:cstheme="minorHAnsi"/>
          <w:sz w:val="23"/>
          <w:szCs w:val="23"/>
        </w:rPr>
        <w:t>outlines an incremental and pragmatic approach to progressing reform of heavy vehicle investment and charging arrangements</w:t>
      </w:r>
      <w:r>
        <w:rPr>
          <w:rFonts w:asciiTheme="minorHAnsi" w:hAnsiTheme="minorHAnsi" w:cstheme="minorHAnsi"/>
          <w:sz w:val="23"/>
          <w:szCs w:val="23"/>
        </w:rPr>
        <w:t>.</w:t>
      </w:r>
    </w:p>
    <w:p w:rsidR="001E0EBC" w:rsidRDefault="00A4009B" w:rsidP="0084164C">
      <w:pPr>
        <w:pStyle w:val="Default"/>
        <w:spacing w:before="240" w:after="240"/>
        <w:rPr>
          <w:rFonts w:asciiTheme="minorHAnsi" w:hAnsiTheme="minorHAnsi" w:cstheme="minorHAnsi"/>
          <w:sz w:val="23"/>
          <w:szCs w:val="23"/>
        </w:rPr>
      </w:pPr>
      <w:r w:rsidRPr="008362DB">
        <w:rPr>
          <w:rFonts w:asciiTheme="minorHAnsi" w:hAnsiTheme="minorHAnsi" w:cstheme="minorHAnsi"/>
          <w:sz w:val="23"/>
          <w:szCs w:val="23"/>
        </w:rPr>
        <w:t xml:space="preserve">Each phase of the reform road map aims to progressively strengthen the links between the supply of, and demand for, heavy vehicle road services. </w:t>
      </w:r>
      <w:r w:rsidR="001E0EBC" w:rsidRPr="008362DB">
        <w:rPr>
          <w:rFonts w:asciiTheme="minorHAnsi" w:hAnsiTheme="minorHAnsi" w:cstheme="minorHAnsi"/>
          <w:sz w:val="23"/>
          <w:szCs w:val="23"/>
        </w:rPr>
        <w:t xml:space="preserve">In line with economic analysis and feedback from industry, the road map prioritises supply side measures in progressing reform with charging reforms only considered later. </w:t>
      </w:r>
      <w:r w:rsidR="001E0EBC">
        <w:rPr>
          <w:rFonts w:asciiTheme="minorHAnsi" w:hAnsiTheme="minorHAnsi" w:cstheme="minorHAnsi"/>
          <w:sz w:val="23"/>
          <w:szCs w:val="23"/>
        </w:rPr>
        <w:t xml:space="preserve"> </w:t>
      </w:r>
      <w:r w:rsidRPr="008362DB">
        <w:rPr>
          <w:rFonts w:asciiTheme="minorHAnsi" w:hAnsiTheme="minorHAnsi" w:cstheme="minorHAnsi"/>
          <w:sz w:val="23"/>
          <w:szCs w:val="23"/>
        </w:rPr>
        <w:t xml:space="preserve">Each </w:t>
      </w:r>
      <w:r w:rsidR="001E0EBC">
        <w:rPr>
          <w:rFonts w:asciiTheme="minorHAnsi" w:hAnsiTheme="minorHAnsi" w:cstheme="minorHAnsi"/>
          <w:sz w:val="23"/>
          <w:szCs w:val="23"/>
        </w:rPr>
        <w:t>phase</w:t>
      </w:r>
      <w:r w:rsidRPr="008362DB">
        <w:rPr>
          <w:rFonts w:asciiTheme="minorHAnsi" w:hAnsiTheme="minorHAnsi" w:cstheme="minorHAnsi"/>
          <w:sz w:val="23"/>
          <w:szCs w:val="23"/>
        </w:rPr>
        <w:t xml:space="preserve"> offers benefits to industry and government with costs </w:t>
      </w:r>
      <w:r w:rsidR="001E0EBC">
        <w:rPr>
          <w:rFonts w:asciiTheme="minorHAnsi" w:hAnsiTheme="minorHAnsi" w:cstheme="minorHAnsi"/>
          <w:sz w:val="23"/>
          <w:szCs w:val="23"/>
        </w:rPr>
        <w:t xml:space="preserve">– </w:t>
      </w:r>
      <w:r w:rsidRPr="008362DB">
        <w:rPr>
          <w:rFonts w:asciiTheme="minorHAnsi" w:hAnsiTheme="minorHAnsi" w:cstheme="minorHAnsi"/>
          <w:sz w:val="23"/>
          <w:szCs w:val="23"/>
        </w:rPr>
        <w:t>to industry in particular</w:t>
      </w:r>
      <w:r w:rsidR="001E0EBC">
        <w:rPr>
          <w:rFonts w:asciiTheme="minorHAnsi" w:hAnsiTheme="minorHAnsi" w:cstheme="minorHAnsi"/>
          <w:sz w:val="23"/>
          <w:szCs w:val="23"/>
        </w:rPr>
        <w:t xml:space="preserve"> – </w:t>
      </w:r>
      <w:r w:rsidRPr="008362DB">
        <w:rPr>
          <w:rFonts w:asciiTheme="minorHAnsi" w:hAnsiTheme="minorHAnsi" w:cstheme="minorHAnsi"/>
          <w:sz w:val="23"/>
          <w:szCs w:val="23"/>
        </w:rPr>
        <w:t xml:space="preserve">minimised until later in the reform process when they are expected to start reaping the benefits of earlier phases of reform. </w:t>
      </w:r>
    </w:p>
    <w:p w:rsidR="00A4009B" w:rsidRPr="008362DB" w:rsidRDefault="00A4009B" w:rsidP="0084164C">
      <w:pPr>
        <w:pStyle w:val="Default"/>
        <w:spacing w:before="240" w:after="240"/>
        <w:rPr>
          <w:rFonts w:asciiTheme="minorHAnsi" w:hAnsiTheme="minorHAnsi" w:cstheme="minorHAnsi"/>
          <w:sz w:val="23"/>
          <w:szCs w:val="23"/>
        </w:rPr>
      </w:pPr>
      <w:r w:rsidRPr="008362DB">
        <w:rPr>
          <w:rFonts w:asciiTheme="minorHAnsi" w:hAnsiTheme="minorHAnsi" w:cstheme="minorHAnsi"/>
          <w:sz w:val="23"/>
          <w:szCs w:val="23"/>
        </w:rPr>
        <w:t xml:space="preserve">Progression beyond each phase of reform will be subject to the specific agreement of governments. </w:t>
      </w:r>
    </w:p>
    <w:p w:rsidR="005E35B7" w:rsidRDefault="005E35B7">
      <w:pPr>
        <w:rPr>
          <w:rFonts w:asciiTheme="minorHAnsi" w:eastAsiaTheme="minorHAnsi" w:hAnsiTheme="minorHAnsi" w:cstheme="minorHAnsi"/>
          <w:b/>
          <w:bCs/>
          <w:color w:val="000000"/>
        </w:rPr>
      </w:pPr>
      <w:r>
        <w:rPr>
          <w:rFonts w:asciiTheme="minorHAnsi" w:hAnsiTheme="minorHAnsi" w:cstheme="minorHAnsi"/>
          <w:b/>
          <w:bCs/>
        </w:rPr>
        <w:br w:type="page"/>
      </w:r>
    </w:p>
    <w:p w:rsidR="00A4009B" w:rsidRPr="0054314B" w:rsidRDefault="00A4009B" w:rsidP="00A4009B">
      <w:pPr>
        <w:pStyle w:val="Default"/>
        <w:rPr>
          <w:rFonts w:asciiTheme="minorHAnsi" w:hAnsiTheme="minorHAnsi" w:cstheme="minorHAnsi"/>
        </w:rPr>
      </w:pPr>
      <w:r w:rsidRPr="0054314B">
        <w:rPr>
          <w:rFonts w:asciiTheme="minorHAnsi" w:hAnsiTheme="minorHAnsi" w:cstheme="minorHAnsi"/>
          <w:b/>
          <w:bCs/>
        </w:rPr>
        <w:t xml:space="preserve">Summary of the 4-phase road map for progressing </w:t>
      </w:r>
      <w:r w:rsidR="004D3EC3" w:rsidRPr="0054314B">
        <w:rPr>
          <w:rFonts w:asciiTheme="minorHAnsi" w:hAnsiTheme="minorHAnsi" w:cstheme="minorHAnsi"/>
          <w:b/>
          <w:bCs/>
        </w:rPr>
        <w:t xml:space="preserve">Heavy Vehicle Road Reform </w:t>
      </w:r>
      <w:r w:rsidR="00DE0894">
        <w:rPr>
          <w:rFonts w:asciiTheme="minorHAnsi" w:hAnsiTheme="minorHAnsi" w:cstheme="minorHAnsi"/>
          <w:b/>
          <w:bCs/>
        </w:rPr>
        <w:br/>
      </w:r>
    </w:p>
    <w:p w:rsidR="00A4009B" w:rsidRPr="008362DB" w:rsidRDefault="00DE0894" w:rsidP="00A4009B">
      <w:pPr>
        <w:rPr>
          <w:rFonts w:cstheme="minorHAnsi"/>
          <w:lang w:val="en-US"/>
        </w:rPr>
      </w:pPr>
      <w:r>
        <w:rPr>
          <w:noProof/>
          <w:lang w:eastAsia="en-AU"/>
        </w:rPr>
        <w:drawing>
          <wp:inline distT="0" distB="0" distL="0" distR="0" wp14:anchorId="283AA04C" wp14:editId="5AA09982">
            <wp:extent cx="5486400" cy="2702621"/>
            <wp:effectExtent l="0" t="0" r="0" b="2540"/>
            <wp:docPr id="6" name="Picture 6" descr="C:\Users\akeers\AppData\Local\Microsoft\Windows\Temporary Internet Files\Content.Outlook\SWLP0KQU\INFRA2520_STP_HVC_DIAGRAMS_SUMMARY_0515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ers\AppData\Local\Microsoft\Windows\Temporary Internet Files\Content.Outlook\SWLP0KQU\INFRA2520_STP_HVC_DIAGRAMS_SUMMARY_0515_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123" cy="2711351"/>
                    </a:xfrm>
                    <a:prstGeom prst="rect">
                      <a:avLst/>
                    </a:prstGeom>
                    <a:noFill/>
                    <a:ln>
                      <a:noFill/>
                    </a:ln>
                  </pic:spPr>
                </pic:pic>
              </a:graphicData>
            </a:graphic>
          </wp:inline>
        </w:drawing>
      </w:r>
    </w:p>
    <w:p w:rsidR="00A4009B" w:rsidRPr="00760E62" w:rsidRDefault="00A4009B" w:rsidP="00374888">
      <w:pPr>
        <w:pStyle w:val="PPhdg2"/>
        <w:keepNext/>
        <w:keepLines/>
      </w:pPr>
      <w:bookmarkStart w:id="14" w:name="_Toc514331421"/>
      <w:bookmarkStart w:id="15" w:name="_Toc515535118"/>
      <w:bookmarkStart w:id="16" w:name="_Toc518908883"/>
      <w:r w:rsidRPr="00760E62">
        <w:t>Progress on reform to date</w:t>
      </w:r>
      <w:bookmarkEnd w:id="14"/>
      <w:bookmarkEnd w:id="15"/>
      <w:bookmarkEnd w:id="16"/>
    </w:p>
    <w:p w:rsidR="001E0EBC" w:rsidRPr="00F02A21" w:rsidRDefault="00313037" w:rsidP="00374888">
      <w:pPr>
        <w:pStyle w:val="Default"/>
        <w:keepNext/>
        <w:keepLines/>
        <w:spacing w:before="240" w:after="240"/>
        <w:rPr>
          <w:rFonts w:asciiTheme="minorHAnsi" w:hAnsiTheme="minorHAnsi" w:cstheme="minorHAnsi"/>
          <w:sz w:val="23"/>
          <w:szCs w:val="23"/>
        </w:rPr>
      </w:pPr>
      <w:r>
        <w:rPr>
          <w:rFonts w:asciiTheme="minorHAnsi" w:hAnsiTheme="minorHAnsi" w:cstheme="minorHAnsi"/>
          <w:sz w:val="23"/>
          <w:szCs w:val="23"/>
        </w:rPr>
        <w:t>The Commonwealth and state and territory governments</w:t>
      </w:r>
      <w:r w:rsidRPr="0054314B">
        <w:rPr>
          <w:rFonts w:asciiTheme="minorHAnsi" w:hAnsiTheme="minorHAnsi" w:cstheme="minorHAnsi"/>
          <w:sz w:val="23"/>
          <w:szCs w:val="23"/>
        </w:rPr>
        <w:t xml:space="preserve"> </w:t>
      </w:r>
      <w:r w:rsidR="00A4009B" w:rsidRPr="0054314B">
        <w:rPr>
          <w:rFonts w:asciiTheme="minorHAnsi" w:hAnsiTheme="minorHAnsi" w:cstheme="minorHAnsi"/>
          <w:sz w:val="23"/>
          <w:szCs w:val="23"/>
        </w:rPr>
        <w:t>have been progressing H</w:t>
      </w:r>
      <w:r w:rsidR="0031053B">
        <w:rPr>
          <w:rFonts w:asciiTheme="minorHAnsi" w:hAnsiTheme="minorHAnsi" w:cstheme="minorHAnsi"/>
          <w:sz w:val="23"/>
          <w:szCs w:val="23"/>
        </w:rPr>
        <w:t xml:space="preserve">eavy </w:t>
      </w:r>
      <w:r w:rsidR="00A4009B" w:rsidRPr="0054314B">
        <w:rPr>
          <w:rFonts w:asciiTheme="minorHAnsi" w:hAnsiTheme="minorHAnsi" w:cstheme="minorHAnsi"/>
          <w:sz w:val="23"/>
          <w:szCs w:val="23"/>
        </w:rPr>
        <w:t>V</w:t>
      </w:r>
      <w:r w:rsidR="0031053B">
        <w:rPr>
          <w:rFonts w:asciiTheme="minorHAnsi" w:hAnsiTheme="minorHAnsi" w:cstheme="minorHAnsi"/>
          <w:sz w:val="23"/>
          <w:szCs w:val="23"/>
        </w:rPr>
        <w:t xml:space="preserve">ehicle </w:t>
      </w:r>
      <w:r w:rsidR="00A4009B" w:rsidRPr="0054314B">
        <w:rPr>
          <w:rFonts w:asciiTheme="minorHAnsi" w:hAnsiTheme="minorHAnsi" w:cstheme="minorHAnsi"/>
          <w:sz w:val="23"/>
          <w:szCs w:val="23"/>
        </w:rPr>
        <w:t>R</w:t>
      </w:r>
      <w:r w:rsidR="0031053B">
        <w:rPr>
          <w:rFonts w:asciiTheme="minorHAnsi" w:hAnsiTheme="minorHAnsi" w:cstheme="minorHAnsi"/>
          <w:sz w:val="23"/>
          <w:szCs w:val="23"/>
        </w:rPr>
        <w:t xml:space="preserve">oad </w:t>
      </w:r>
      <w:r w:rsidR="00A4009B" w:rsidRPr="0054314B">
        <w:rPr>
          <w:rFonts w:asciiTheme="minorHAnsi" w:hAnsiTheme="minorHAnsi" w:cstheme="minorHAnsi"/>
          <w:sz w:val="23"/>
          <w:szCs w:val="23"/>
        </w:rPr>
        <w:t>R</w:t>
      </w:r>
      <w:r w:rsidR="0031053B">
        <w:rPr>
          <w:rFonts w:asciiTheme="minorHAnsi" w:hAnsiTheme="minorHAnsi" w:cstheme="minorHAnsi"/>
          <w:sz w:val="23"/>
          <w:szCs w:val="23"/>
        </w:rPr>
        <w:t>eform</w:t>
      </w:r>
      <w:r w:rsidR="00A4009B" w:rsidRPr="0054314B">
        <w:rPr>
          <w:rFonts w:asciiTheme="minorHAnsi" w:hAnsiTheme="minorHAnsi" w:cstheme="minorHAnsi"/>
          <w:sz w:val="23"/>
          <w:szCs w:val="23"/>
        </w:rPr>
        <w:t xml:space="preserve"> under </w:t>
      </w:r>
      <w:r w:rsidR="00C13315">
        <w:rPr>
          <w:rFonts w:asciiTheme="minorHAnsi" w:hAnsiTheme="minorHAnsi" w:cstheme="minorHAnsi"/>
          <w:sz w:val="23"/>
          <w:szCs w:val="23"/>
        </w:rPr>
        <w:t>this</w:t>
      </w:r>
      <w:r w:rsidR="00A4009B" w:rsidRPr="0054314B">
        <w:rPr>
          <w:rFonts w:asciiTheme="minorHAnsi" w:hAnsiTheme="minorHAnsi" w:cstheme="minorHAnsi"/>
          <w:sz w:val="23"/>
          <w:szCs w:val="23"/>
        </w:rPr>
        <w:t xml:space="preserve"> road map. </w:t>
      </w:r>
      <w:r w:rsidR="001E0EBC" w:rsidRPr="00F02A21">
        <w:rPr>
          <w:rFonts w:asciiTheme="minorHAnsi" w:hAnsiTheme="minorHAnsi" w:cstheme="minorHAnsi"/>
          <w:sz w:val="23"/>
          <w:szCs w:val="23"/>
        </w:rPr>
        <w:t xml:space="preserve">The first phase of reform aimed to improve transparency around road expenditure, investment and service delivery. Initial measures have included the publication of the heavy vehicle asset registers and state and territory expenditure plans, with the second editions published in early 2017. </w:t>
      </w:r>
      <w:r w:rsidR="001D77F9">
        <w:rPr>
          <w:rFonts w:asciiTheme="minorHAnsi" w:hAnsiTheme="minorHAnsi" w:cstheme="minorHAnsi"/>
          <w:sz w:val="23"/>
          <w:szCs w:val="23"/>
        </w:rPr>
        <w:t xml:space="preserve">These </w:t>
      </w:r>
      <w:r w:rsidR="001D77F9" w:rsidRPr="001D77F9">
        <w:rPr>
          <w:rFonts w:asciiTheme="minorHAnsi" w:hAnsiTheme="minorHAnsi" w:cstheme="minorHAnsi"/>
          <w:sz w:val="23"/>
          <w:szCs w:val="23"/>
        </w:rPr>
        <w:t>provide a basic level of reporting of service levels and proposed expenditure on our key freight routes</w:t>
      </w:r>
      <w:r w:rsidR="00374888">
        <w:rPr>
          <w:rFonts w:asciiTheme="minorHAnsi" w:hAnsiTheme="minorHAnsi" w:cstheme="minorHAnsi"/>
          <w:sz w:val="23"/>
          <w:szCs w:val="23"/>
        </w:rPr>
        <w:t>.</w:t>
      </w:r>
    </w:p>
    <w:p w:rsidR="001D77F9" w:rsidRDefault="001E0EBC" w:rsidP="001D77F9">
      <w:pPr>
        <w:pStyle w:val="Default"/>
        <w:spacing w:before="240" w:after="240"/>
        <w:rPr>
          <w:rFonts w:asciiTheme="minorHAnsi" w:hAnsiTheme="minorHAnsi" w:cstheme="minorHAnsi"/>
          <w:sz w:val="23"/>
          <w:szCs w:val="23"/>
        </w:rPr>
      </w:pPr>
      <w:r w:rsidRPr="00F02A21">
        <w:rPr>
          <w:rFonts w:asciiTheme="minorHAnsi" w:hAnsiTheme="minorHAnsi" w:cstheme="minorHAnsi"/>
          <w:sz w:val="23"/>
          <w:szCs w:val="23"/>
        </w:rPr>
        <w:t xml:space="preserve">The second phase of reform aims to implement </w:t>
      </w:r>
      <w:r w:rsidR="001F496A">
        <w:rPr>
          <w:rFonts w:asciiTheme="minorHAnsi" w:hAnsiTheme="minorHAnsi" w:cstheme="minorHAnsi"/>
          <w:sz w:val="23"/>
          <w:szCs w:val="23"/>
        </w:rPr>
        <w:t>two</w:t>
      </w:r>
      <w:r w:rsidR="001F496A" w:rsidRPr="0054314B">
        <w:rPr>
          <w:rFonts w:asciiTheme="minorHAnsi" w:hAnsiTheme="minorHAnsi" w:cstheme="minorHAnsi"/>
          <w:sz w:val="23"/>
          <w:szCs w:val="23"/>
        </w:rPr>
        <w:t xml:space="preserve"> </w:t>
      </w:r>
      <w:r w:rsidR="001F496A">
        <w:rPr>
          <w:rFonts w:asciiTheme="minorHAnsi" w:hAnsiTheme="minorHAnsi" w:cstheme="minorHAnsi"/>
          <w:sz w:val="23"/>
          <w:szCs w:val="23"/>
        </w:rPr>
        <w:t xml:space="preserve">important </w:t>
      </w:r>
      <w:r w:rsidR="001F496A" w:rsidRPr="0054314B">
        <w:rPr>
          <w:rFonts w:asciiTheme="minorHAnsi" w:hAnsiTheme="minorHAnsi" w:cstheme="minorHAnsi"/>
          <w:sz w:val="23"/>
          <w:szCs w:val="23"/>
        </w:rPr>
        <w:t xml:space="preserve">governance measures – </w:t>
      </w:r>
      <w:r w:rsidRPr="00F02A21">
        <w:rPr>
          <w:rFonts w:asciiTheme="minorHAnsi" w:hAnsiTheme="minorHAnsi" w:cstheme="minorHAnsi"/>
          <w:sz w:val="23"/>
          <w:szCs w:val="23"/>
        </w:rPr>
        <w:t xml:space="preserve">a forward-looking cost base and independent price regulation </w:t>
      </w:r>
      <w:r w:rsidR="00374888">
        <w:rPr>
          <w:rFonts w:asciiTheme="minorHAnsi" w:hAnsiTheme="minorHAnsi" w:cstheme="minorHAnsi"/>
          <w:sz w:val="23"/>
          <w:szCs w:val="23"/>
        </w:rPr>
        <w:t xml:space="preserve">for heavy vehicles. In November </w:t>
      </w:r>
      <w:r w:rsidRPr="00F02A21">
        <w:rPr>
          <w:rFonts w:asciiTheme="minorHAnsi" w:hAnsiTheme="minorHAnsi" w:cstheme="minorHAnsi"/>
          <w:sz w:val="23"/>
          <w:szCs w:val="23"/>
        </w:rPr>
        <w:t xml:space="preserve">2017, the Transport and Infrastructure Council agreed to commence work on a </w:t>
      </w:r>
      <w:r w:rsidR="0031053B">
        <w:rPr>
          <w:rFonts w:asciiTheme="minorHAnsi" w:hAnsiTheme="minorHAnsi" w:cstheme="minorHAnsi"/>
          <w:sz w:val="23"/>
          <w:szCs w:val="23"/>
        </w:rPr>
        <w:t>r</w:t>
      </w:r>
      <w:r w:rsidRPr="00F02A21">
        <w:rPr>
          <w:rFonts w:asciiTheme="minorHAnsi" w:hAnsiTheme="minorHAnsi" w:cstheme="minorHAnsi"/>
          <w:sz w:val="23"/>
          <w:szCs w:val="23"/>
        </w:rPr>
        <w:t xml:space="preserve">egulation </w:t>
      </w:r>
      <w:r w:rsidR="0031053B">
        <w:rPr>
          <w:rFonts w:asciiTheme="minorHAnsi" w:hAnsiTheme="minorHAnsi" w:cstheme="minorHAnsi"/>
          <w:sz w:val="23"/>
          <w:szCs w:val="23"/>
        </w:rPr>
        <w:t>i</w:t>
      </w:r>
      <w:r w:rsidRPr="00F02A21">
        <w:rPr>
          <w:rFonts w:asciiTheme="minorHAnsi" w:hAnsiTheme="minorHAnsi" w:cstheme="minorHAnsi"/>
          <w:sz w:val="23"/>
          <w:szCs w:val="23"/>
        </w:rPr>
        <w:t xml:space="preserve">mpact </w:t>
      </w:r>
      <w:r w:rsidR="0031053B">
        <w:rPr>
          <w:rFonts w:asciiTheme="minorHAnsi" w:hAnsiTheme="minorHAnsi" w:cstheme="minorHAnsi"/>
          <w:sz w:val="23"/>
          <w:szCs w:val="23"/>
        </w:rPr>
        <w:t>s</w:t>
      </w:r>
      <w:r w:rsidRPr="00F02A21">
        <w:rPr>
          <w:rFonts w:asciiTheme="minorHAnsi" w:hAnsiTheme="minorHAnsi" w:cstheme="minorHAnsi"/>
          <w:sz w:val="23"/>
          <w:szCs w:val="23"/>
        </w:rPr>
        <w:t xml:space="preserve">tatement to assess options for independent price regulation. </w:t>
      </w:r>
      <w:r w:rsidR="001D77F9" w:rsidRPr="0054314B">
        <w:rPr>
          <w:rFonts w:asciiTheme="minorHAnsi" w:hAnsiTheme="minorHAnsi" w:cstheme="minorHAnsi"/>
          <w:sz w:val="23"/>
          <w:szCs w:val="23"/>
        </w:rPr>
        <w:t xml:space="preserve">In addition, the Commonwealth Government has announced two initiatives to engage heavy vehicle operators on the reform: the National Heavy </w:t>
      </w:r>
      <w:r w:rsidR="00374888">
        <w:rPr>
          <w:rFonts w:asciiTheme="minorHAnsi" w:hAnsiTheme="minorHAnsi" w:cstheme="minorHAnsi"/>
          <w:sz w:val="23"/>
          <w:szCs w:val="23"/>
        </w:rPr>
        <w:t xml:space="preserve">Vehicle Charging Pilot and the Business Case Program for Location-Specific Heavy Vehicle Charging Trials. </w:t>
      </w:r>
    </w:p>
    <w:p w:rsidR="002441DA" w:rsidRPr="0054314B" w:rsidRDefault="002441DA" w:rsidP="001D77F9">
      <w:pPr>
        <w:pStyle w:val="Default"/>
        <w:spacing w:before="240" w:after="240"/>
        <w:rPr>
          <w:rFonts w:asciiTheme="minorHAnsi" w:hAnsiTheme="minorHAnsi" w:cstheme="minorHAnsi"/>
          <w:sz w:val="23"/>
          <w:szCs w:val="23"/>
        </w:rPr>
      </w:pPr>
      <w:r>
        <w:rPr>
          <w:rFonts w:asciiTheme="minorHAnsi" w:hAnsiTheme="minorHAnsi" w:cstheme="minorHAnsi"/>
          <w:sz w:val="23"/>
          <w:szCs w:val="23"/>
        </w:rPr>
        <w:t xml:space="preserve">The third phase of reform (currently </w:t>
      </w:r>
      <w:r w:rsidRPr="002441DA">
        <w:rPr>
          <w:rFonts w:asciiTheme="minorHAnsi" w:hAnsiTheme="minorHAnsi" w:cstheme="minorHAnsi"/>
          <w:sz w:val="23"/>
          <w:szCs w:val="23"/>
        </w:rPr>
        <w:t>under development) would reform road funding arrangements to achieve a more direct link between heavy vehicle charges and road service delivery.</w:t>
      </w:r>
      <w:r>
        <w:rPr>
          <w:rFonts w:asciiTheme="minorHAnsi" w:hAnsiTheme="minorHAnsi" w:cstheme="minorHAnsi"/>
          <w:sz w:val="23"/>
          <w:szCs w:val="23"/>
        </w:rPr>
        <w:t xml:space="preserve"> The fourth phase </w:t>
      </w:r>
      <w:r w:rsidRPr="002441DA">
        <w:rPr>
          <w:rFonts w:asciiTheme="minorHAnsi" w:hAnsiTheme="minorHAnsi" w:cstheme="minorHAnsi"/>
          <w:sz w:val="23"/>
          <w:szCs w:val="23"/>
        </w:rPr>
        <w:t>would see PAYGO replaced with more direct road user charges</w:t>
      </w:r>
      <w:r>
        <w:rPr>
          <w:rFonts w:asciiTheme="minorHAnsi" w:hAnsiTheme="minorHAnsi" w:cstheme="minorHAnsi"/>
          <w:sz w:val="23"/>
          <w:szCs w:val="23"/>
        </w:rPr>
        <w:t>.</w:t>
      </w:r>
    </w:p>
    <w:p w:rsidR="00A4009B" w:rsidRPr="0054314B" w:rsidRDefault="00A4009B" w:rsidP="0054314B">
      <w:pPr>
        <w:pStyle w:val="Default"/>
        <w:spacing w:before="240" w:after="240"/>
        <w:rPr>
          <w:rFonts w:asciiTheme="minorHAnsi" w:hAnsiTheme="minorHAnsi" w:cstheme="minorHAnsi"/>
          <w:sz w:val="23"/>
          <w:szCs w:val="23"/>
        </w:rPr>
      </w:pPr>
      <w:r w:rsidRPr="0054314B">
        <w:rPr>
          <w:rFonts w:asciiTheme="minorHAnsi" w:hAnsiTheme="minorHAnsi" w:cstheme="minorHAnsi"/>
          <w:sz w:val="23"/>
          <w:szCs w:val="23"/>
        </w:rPr>
        <w:t xml:space="preserve">Significant progress </w:t>
      </w:r>
      <w:r w:rsidR="001D77F9">
        <w:rPr>
          <w:rFonts w:asciiTheme="minorHAnsi" w:hAnsiTheme="minorHAnsi" w:cstheme="minorHAnsi"/>
          <w:sz w:val="23"/>
          <w:szCs w:val="23"/>
        </w:rPr>
        <w:t xml:space="preserve">in other areas </w:t>
      </w:r>
      <w:r w:rsidRPr="0054314B">
        <w:rPr>
          <w:rFonts w:asciiTheme="minorHAnsi" w:hAnsiTheme="minorHAnsi" w:cstheme="minorHAnsi"/>
          <w:sz w:val="23"/>
          <w:szCs w:val="23"/>
        </w:rPr>
        <w:t xml:space="preserve">has </w:t>
      </w:r>
      <w:r w:rsidR="001D77F9">
        <w:rPr>
          <w:rFonts w:asciiTheme="minorHAnsi" w:hAnsiTheme="minorHAnsi" w:cstheme="minorHAnsi"/>
          <w:sz w:val="23"/>
          <w:szCs w:val="23"/>
        </w:rPr>
        <w:t>also</w:t>
      </w:r>
      <w:r w:rsidRPr="0054314B">
        <w:rPr>
          <w:rFonts w:asciiTheme="minorHAnsi" w:hAnsiTheme="minorHAnsi" w:cstheme="minorHAnsi"/>
          <w:sz w:val="23"/>
          <w:szCs w:val="23"/>
        </w:rPr>
        <w:t xml:space="preserve"> been made:</w:t>
      </w:r>
    </w:p>
    <w:p w:rsidR="00A4009B" w:rsidRPr="00992E28" w:rsidRDefault="00A4009B">
      <w:pPr>
        <w:pStyle w:val="ListParagraph"/>
        <w:rPr>
          <w:sz w:val="23"/>
          <w:szCs w:val="23"/>
        </w:rPr>
      </w:pPr>
      <w:r w:rsidRPr="00992E28">
        <w:rPr>
          <w:sz w:val="23"/>
          <w:szCs w:val="23"/>
        </w:rPr>
        <w:t>Research into community understanding and awareness of current road funding arrangements</w:t>
      </w:r>
      <w:r w:rsidR="006442DD" w:rsidRPr="00992E28">
        <w:rPr>
          <w:sz w:val="23"/>
          <w:szCs w:val="23"/>
        </w:rPr>
        <w:t xml:space="preserve"> for the full road market</w:t>
      </w:r>
      <w:r w:rsidRPr="00992E28">
        <w:rPr>
          <w:sz w:val="23"/>
          <w:szCs w:val="23"/>
        </w:rPr>
        <w:t>.</w:t>
      </w:r>
    </w:p>
    <w:p w:rsidR="00A4009B" w:rsidRPr="00992E28" w:rsidRDefault="00A4009B">
      <w:pPr>
        <w:pStyle w:val="ListParagraph"/>
        <w:rPr>
          <w:sz w:val="23"/>
          <w:szCs w:val="23"/>
        </w:rPr>
      </w:pPr>
      <w:r w:rsidRPr="00992E28">
        <w:rPr>
          <w:sz w:val="23"/>
          <w:szCs w:val="23"/>
        </w:rPr>
        <w:t xml:space="preserve">Analysis of </w:t>
      </w:r>
      <w:r w:rsidR="006442DD" w:rsidRPr="00992E28">
        <w:rPr>
          <w:sz w:val="23"/>
          <w:szCs w:val="23"/>
        </w:rPr>
        <w:t xml:space="preserve">full market road </w:t>
      </w:r>
      <w:r w:rsidRPr="00992E28">
        <w:rPr>
          <w:sz w:val="23"/>
          <w:szCs w:val="23"/>
        </w:rPr>
        <w:t>revenue and expenditure trends out to 2050.</w:t>
      </w:r>
    </w:p>
    <w:p w:rsidR="00A4009B" w:rsidRPr="00992E28" w:rsidRDefault="00A4009B">
      <w:pPr>
        <w:pStyle w:val="ListParagraph"/>
        <w:rPr>
          <w:sz w:val="23"/>
          <w:szCs w:val="23"/>
        </w:rPr>
      </w:pPr>
      <w:r w:rsidRPr="00992E28">
        <w:rPr>
          <w:sz w:val="23"/>
          <w:szCs w:val="23"/>
        </w:rPr>
        <w:t xml:space="preserve">Analysis of lessons to be learned from other countries (including trials of distance-based charging) and the regulation of other utility sectors. </w:t>
      </w:r>
    </w:p>
    <w:p w:rsidR="00A4009B" w:rsidRPr="00992E28" w:rsidRDefault="00A4009B">
      <w:pPr>
        <w:pStyle w:val="ListParagraph"/>
        <w:rPr>
          <w:sz w:val="23"/>
          <w:szCs w:val="23"/>
        </w:rPr>
      </w:pPr>
      <w:r w:rsidRPr="00992E28">
        <w:rPr>
          <w:sz w:val="23"/>
          <w:szCs w:val="23"/>
        </w:rPr>
        <w:t>The National Transport Commission has developed a p</w:t>
      </w:r>
      <w:r w:rsidR="0031053B">
        <w:rPr>
          <w:sz w:val="23"/>
          <w:szCs w:val="23"/>
        </w:rPr>
        <w:t>rototype model of how a forward</w:t>
      </w:r>
      <w:r w:rsidR="0031053B">
        <w:rPr>
          <w:sz w:val="23"/>
          <w:szCs w:val="23"/>
        </w:rPr>
        <w:noBreakHyphen/>
      </w:r>
      <w:r w:rsidRPr="00992E28">
        <w:rPr>
          <w:sz w:val="23"/>
          <w:szCs w:val="23"/>
        </w:rPr>
        <w:t>looking cost base could be applied to roads.</w:t>
      </w:r>
    </w:p>
    <w:p w:rsidR="00A4009B" w:rsidRPr="00992E28" w:rsidRDefault="00A4009B">
      <w:pPr>
        <w:pStyle w:val="ListParagraph"/>
        <w:rPr>
          <w:sz w:val="23"/>
          <w:szCs w:val="23"/>
        </w:rPr>
      </w:pPr>
      <w:r w:rsidRPr="00992E28">
        <w:rPr>
          <w:sz w:val="23"/>
          <w:szCs w:val="23"/>
        </w:rPr>
        <w:t>Austroads reports into recommended models for community service obligations, service levels and funding regional and remote roads.</w:t>
      </w:r>
    </w:p>
    <w:p w:rsidR="00A4009B" w:rsidRPr="00760E62" w:rsidRDefault="00A4009B" w:rsidP="00760E62">
      <w:pPr>
        <w:pStyle w:val="PPhdg2"/>
      </w:pPr>
      <w:bookmarkStart w:id="17" w:name="_Toc514331434"/>
      <w:bookmarkStart w:id="18" w:name="_Toc518908884"/>
      <w:r w:rsidRPr="00760E62">
        <w:t>Independent price regulation and a forward</w:t>
      </w:r>
      <w:r w:rsidR="00760E62">
        <w:t>-</w:t>
      </w:r>
      <w:r w:rsidRPr="00760E62">
        <w:t>looking cost base</w:t>
      </w:r>
      <w:bookmarkEnd w:id="17"/>
      <w:bookmarkEnd w:id="18"/>
      <w:r w:rsidRPr="00760E62">
        <w:t xml:space="preserve"> </w:t>
      </w:r>
    </w:p>
    <w:p w:rsidR="00A4009B" w:rsidRPr="00F23ABD" w:rsidRDefault="00A4009B" w:rsidP="00F23ABD">
      <w:pPr>
        <w:pStyle w:val="Default"/>
        <w:spacing w:before="240" w:after="240"/>
        <w:rPr>
          <w:rFonts w:asciiTheme="minorHAnsi" w:hAnsiTheme="minorHAnsi" w:cstheme="minorHAnsi"/>
          <w:sz w:val="23"/>
          <w:szCs w:val="23"/>
        </w:rPr>
      </w:pPr>
      <w:r w:rsidRPr="00F23ABD">
        <w:rPr>
          <w:rFonts w:asciiTheme="minorHAnsi" w:hAnsiTheme="minorHAnsi" w:cstheme="minorHAnsi"/>
          <w:sz w:val="23"/>
          <w:szCs w:val="23"/>
        </w:rPr>
        <w:t>Phase 2 governance measures – independent price regulation of heavy vehicle charges and a forward-looking cost base</w:t>
      </w:r>
      <w:r w:rsidR="008A125B">
        <w:rPr>
          <w:rFonts w:asciiTheme="minorHAnsi" w:hAnsiTheme="minorHAnsi" w:cstheme="minorHAnsi"/>
          <w:sz w:val="23"/>
          <w:szCs w:val="23"/>
        </w:rPr>
        <w:t xml:space="preserve"> – </w:t>
      </w:r>
      <w:r w:rsidRPr="00F23ABD">
        <w:rPr>
          <w:rFonts w:asciiTheme="minorHAnsi" w:hAnsiTheme="minorHAnsi" w:cstheme="minorHAnsi"/>
          <w:sz w:val="23"/>
          <w:szCs w:val="23"/>
        </w:rPr>
        <w:t>will provide the basis for a charging system which is more efficient, financially sustainable and fair. Independent price regulation of heavy vehicle charges will enable a regulator to determine charges at arm’s length from governments. A forward-looking cost base would enable governments to charge heavy vehicle road users on the basis of a fair return on an expenditure base that includes the forecast cost of building, maintaining and upgrading road infrastructure to at least a minimum standard.</w:t>
      </w:r>
    </w:p>
    <w:p w:rsidR="001F496A" w:rsidRDefault="00A4009B" w:rsidP="004B6C3D">
      <w:pPr>
        <w:pStyle w:val="Default"/>
        <w:spacing w:before="240" w:after="240"/>
        <w:rPr>
          <w:color w:val="4F81BD" w:themeColor="accent1"/>
          <w:sz w:val="28"/>
          <w:szCs w:val="28"/>
        </w:rPr>
      </w:pPr>
      <w:r w:rsidRPr="00F23ABD">
        <w:rPr>
          <w:rFonts w:asciiTheme="minorHAnsi" w:hAnsiTheme="minorHAnsi" w:cstheme="minorHAnsi"/>
          <w:sz w:val="23"/>
          <w:szCs w:val="23"/>
        </w:rPr>
        <w:t>A regulation impact statement, to assess the costs and benefits of implementing these governance measures – is being prepared. In July 2018 we anticipate public consultation on the RIS, which will include at least one face-to-face industry workshop.</w:t>
      </w:r>
      <w:bookmarkStart w:id="19" w:name="_Toc514331435"/>
    </w:p>
    <w:p w:rsidR="00A4009B" w:rsidRPr="00760E62" w:rsidRDefault="00C94B71" w:rsidP="00760E62">
      <w:pPr>
        <w:pStyle w:val="PPhdg2"/>
      </w:pPr>
      <w:bookmarkStart w:id="20" w:name="_Toc518908885"/>
      <w:bookmarkEnd w:id="19"/>
      <w:r>
        <w:t>National Heavy Vehicle Charging Pilot</w:t>
      </w:r>
      <w:bookmarkEnd w:id="20"/>
    </w:p>
    <w:p w:rsidR="00C94B71" w:rsidRDefault="007D75A8" w:rsidP="007D75A8">
      <w:pPr>
        <w:pStyle w:val="Default"/>
        <w:spacing w:before="240" w:after="240"/>
        <w:rPr>
          <w:rFonts w:asciiTheme="minorHAnsi" w:hAnsiTheme="minorHAnsi" w:cstheme="minorHAnsi"/>
          <w:sz w:val="23"/>
          <w:szCs w:val="23"/>
        </w:rPr>
      </w:pPr>
      <w:r w:rsidRPr="007D75A8">
        <w:rPr>
          <w:rFonts w:asciiTheme="minorHAnsi" w:hAnsiTheme="minorHAnsi" w:cstheme="minorHAnsi"/>
          <w:sz w:val="23"/>
          <w:szCs w:val="23"/>
        </w:rPr>
        <w:t xml:space="preserve">The National </w:t>
      </w:r>
      <w:r w:rsidR="00480D1F">
        <w:rPr>
          <w:rFonts w:asciiTheme="minorHAnsi" w:hAnsiTheme="minorHAnsi" w:cstheme="minorHAnsi"/>
          <w:sz w:val="23"/>
          <w:szCs w:val="23"/>
        </w:rPr>
        <w:t xml:space="preserve">Heavy Vehicle Charging </w:t>
      </w:r>
      <w:r w:rsidRPr="007D75A8">
        <w:rPr>
          <w:rFonts w:asciiTheme="minorHAnsi" w:hAnsiTheme="minorHAnsi" w:cstheme="minorHAnsi"/>
          <w:sz w:val="23"/>
          <w:szCs w:val="23"/>
        </w:rPr>
        <w:t xml:space="preserve">Pilot </w:t>
      </w:r>
      <w:r w:rsidR="00480D1F">
        <w:rPr>
          <w:rFonts w:asciiTheme="minorHAnsi" w:hAnsiTheme="minorHAnsi" w:cstheme="minorHAnsi"/>
          <w:sz w:val="23"/>
          <w:szCs w:val="23"/>
        </w:rPr>
        <w:t xml:space="preserve">(National Pilot) </w:t>
      </w:r>
      <w:r w:rsidRPr="007D75A8">
        <w:rPr>
          <w:rFonts w:asciiTheme="minorHAnsi" w:hAnsiTheme="minorHAnsi" w:cstheme="minorHAnsi"/>
          <w:sz w:val="23"/>
          <w:szCs w:val="23"/>
        </w:rPr>
        <w:t xml:space="preserve">is a staged approach to trialling the replacement of the fuel-based Road User Charge and registration fees, with direct charges based on distance, mass and potentially location. </w:t>
      </w:r>
      <w:r w:rsidR="00C94B71">
        <w:rPr>
          <w:rFonts w:asciiTheme="minorHAnsi" w:hAnsiTheme="minorHAnsi" w:cstheme="minorHAnsi"/>
          <w:sz w:val="23"/>
          <w:szCs w:val="23"/>
        </w:rPr>
        <w:t>It is a genuine opportunity for industry to test and shape what a new system might look like and how it could work for your business.</w:t>
      </w:r>
    </w:p>
    <w:p w:rsidR="00C94B71" w:rsidRDefault="00C94B71" w:rsidP="00C94B71">
      <w:pPr>
        <w:pStyle w:val="Default"/>
        <w:spacing w:before="240" w:after="240"/>
        <w:rPr>
          <w:rFonts w:asciiTheme="minorHAnsi" w:hAnsiTheme="minorHAnsi" w:cstheme="minorHAnsi"/>
          <w:sz w:val="23"/>
          <w:szCs w:val="23"/>
        </w:rPr>
      </w:pPr>
      <w:r>
        <w:rPr>
          <w:rFonts w:asciiTheme="minorHAnsi" w:hAnsiTheme="minorHAnsi" w:cstheme="minorHAnsi"/>
          <w:sz w:val="23"/>
          <w:szCs w:val="23"/>
        </w:rPr>
        <w:t xml:space="preserve">Through 2018, </w:t>
      </w:r>
      <w:r w:rsidR="0031053B">
        <w:rPr>
          <w:rFonts w:asciiTheme="minorHAnsi" w:hAnsiTheme="minorHAnsi" w:cstheme="minorHAnsi"/>
          <w:sz w:val="23"/>
          <w:szCs w:val="23"/>
        </w:rPr>
        <w:t>g</w:t>
      </w:r>
      <w:r>
        <w:rPr>
          <w:rFonts w:asciiTheme="minorHAnsi" w:hAnsiTheme="minorHAnsi" w:cstheme="minorHAnsi"/>
          <w:sz w:val="23"/>
          <w:szCs w:val="23"/>
        </w:rPr>
        <w:t>overnments will work with industry peak bodies on the foundation work to design the National Pilot – including modelling different charge options, working through high and low tech options, defining data requirements and collecting baseline data to support evaluation. Interested operators are also welcome to participate in this foundation or design phase of the National Pilot if interested.</w:t>
      </w:r>
    </w:p>
    <w:p w:rsidR="00C94B71" w:rsidRDefault="00C94B71" w:rsidP="00C94B71">
      <w:pPr>
        <w:pStyle w:val="Default"/>
        <w:spacing w:before="240" w:after="240"/>
        <w:rPr>
          <w:rFonts w:asciiTheme="minorHAnsi" w:hAnsiTheme="minorHAnsi" w:cstheme="minorHAnsi"/>
          <w:sz w:val="23"/>
          <w:szCs w:val="23"/>
        </w:rPr>
      </w:pPr>
      <w:r>
        <w:rPr>
          <w:rFonts w:asciiTheme="minorHAnsi" w:hAnsiTheme="minorHAnsi" w:cstheme="minorHAnsi"/>
          <w:sz w:val="23"/>
          <w:szCs w:val="23"/>
        </w:rPr>
        <w:t xml:space="preserve">Towards the end of 2018, participants will be sought for the first on-road stage, which will see participants providing road use data and in turn receiving a ‘mock invoice’ outlining charges under different scenarios. This process will provide information on how different potential charging scenarios could work for your business.  It is an opportunity to provide feedback on what works and what doesn’t to shape and narrow down potential options. The Department </w:t>
      </w:r>
      <w:r w:rsidR="0031053B">
        <w:rPr>
          <w:rFonts w:asciiTheme="minorHAnsi" w:hAnsiTheme="minorHAnsi" w:cstheme="minorHAnsi"/>
          <w:sz w:val="23"/>
          <w:szCs w:val="23"/>
        </w:rPr>
        <w:t xml:space="preserve">of Infrastructure, Regional Development and Cities </w:t>
      </w:r>
      <w:r>
        <w:rPr>
          <w:rFonts w:asciiTheme="minorHAnsi" w:hAnsiTheme="minorHAnsi" w:cstheme="minorHAnsi"/>
          <w:sz w:val="23"/>
          <w:szCs w:val="23"/>
        </w:rPr>
        <w:t>intends to publish major reports and findings.</w:t>
      </w:r>
    </w:p>
    <w:p w:rsidR="00C94B71" w:rsidRDefault="00C94B71" w:rsidP="00C94B71">
      <w:pPr>
        <w:pStyle w:val="Default"/>
        <w:spacing w:before="240" w:after="240"/>
        <w:rPr>
          <w:rFonts w:asciiTheme="minorHAnsi" w:hAnsiTheme="minorHAnsi" w:cstheme="minorHAnsi"/>
          <w:sz w:val="23"/>
          <w:szCs w:val="23"/>
        </w:rPr>
      </w:pPr>
      <w:r>
        <w:rPr>
          <w:rFonts w:asciiTheme="minorHAnsi" w:hAnsiTheme="minorHAnsi" w:cstheme="minorHAnsi"/>
          <w:sz w:val="23"/>
          <w:szCs w:val="23"/>
        </w:rPr>
        <w:t>Following an evaluation, based on the findings of these first two stages and views of participants, governments will consider if and how to allow interested participants opt-in to ‘real money’ trials.</w:t>
      </w:r>
    </w:p>
    <w:p w:rsidR="007D75A8" w:rsidRDefault="007D75A8" w:rsidP="007D75A8">
      <w:pPr>
        <w:pStyle w:val="Default"/>
        <w:spacing w:before="240" w:after="240"/>
        <w:rPr>
          <w:rFonts w:asciiTheme="minorHAnsi" w:hAnsiTheme="minorHAnsi" w:cstheme="minorHAnsi"/>
          <w:sz w:val="23"/>
          <w:szCs w:val="23"/>
        </w:rPr>
      </w:pPr>
      <w:r w:rsidRPr="00F02A21">
        <w:rPr>
          <w:rFonts w:asciiTheme="minorHAnsi" w:hAnsiTheme="minorHAnsi" w:cstheme="minorHAnsi"/>
          <w:sz w:val="23"/>
          <w:szCs w:val="23"/>
        </w:rPr>
        <w:t xml:space="preserve">The first two stages of the National Pilot will run through to 2020 and </w:t>
      </w:r>
      <w:r w:rsidR="00C94B71">
        <w:rPr>
          <w:rFonts w:asciiTheme="minorHAnsi" w:hAnsiTheme="minorHAnsi" w:cstheme="minorHAnsi"/>
          <w:sz w:val="23"/>
          <w:szCs w:val="23"/>
        </w:rPr>
        <w:t>provide an opportunity for industry to test and shape how a new system could work in practice</w:t>
      </w:r>
      <w:r w:rsidRPr="00F02A21">
        <w:rPr>
          <w:rFonts w:asciiTheme="minorHAnsi" w:hAnsiTheme="minorHAnsi" w:cstheme="minorHAnsi"/>
          <w:sz w:val="23"/>
          <w:szCs w:val="23"/>
        </w:rPr>
        <w:t>.</w:t>
      </w:r>
    </w:p>
    <w:p w:rsidR="007D75A8" w:rsidRDefault="00ED6A62" w:rsidP="00984A97">
      <w:pPr>
        <w:pStyle w:val="Default"/>
        <w:spacing w:before="240" w:after="240"/>
        <w:rPr>
          <w:rFonts w:asciiTheme="minorHAnsi" w:hAnsiTheme="minorHAnsi" w:cstheme="minorHAnsi"/>
          <w:sz w:val="23"/>
          <w:szCs w:val="23"/>
        </w:rPr>
      </w:pPr>
      <w:r>
        <w:rPr>
          <w:rFonts w:asciiTheme="minorHAnsi" w:hAnsiTheme="minorHAnsi" w:cstheme="minorHAnsi"/>
          <w:sz w:val="23"/>
          <w:szCs w:val="23"/>
        </w:rPr>
        <w:t xml:space="preserve">People who are interested in the National Pilot can </w:t>
      </w:r>
      <w:r w:rsidR="0031053B">
        <w:rPr>
          <w:rFonts w:asciiTheme="minorHAnsi" w:hAnsiTheme="minorHAnsi" w:cstheme="minorHAnsi"/>
          <w:sz w:val="23"/>
          <w:szCs w:val="23"/>
        </w:rPr>
        <w:t>find out more</w:t>
      </w:r>
      <w:r>
        <w:rPr>
          <w:rFonts w:asciiTheme="minorHAnsi" w:hAnsiTheme="minorHAnsi" w:cstheme="minorHAnsi"/>
          <w:sz w:val="23"/>
          <w:szCs w:val="23"/>
        </w:rPr>
        <w:t xml:space="preserve"> at </w:t>
      </w:r>
      <w:r w:rsidR="0031053B" w:rsidRPr="0031053B">
        <w:rPr>
          <w:rFonts w:asciiTheme="minorHAnsi" w:hAnsiTheme="minorHAnsi" w:cstheme="minorHAnsi"/>
          <w:sz w:val="23"/>
          <w:szCs w:val="23"/>
        </w:rPr>
        <w:t>https://infrastructure.gov.au/roads/heavy/charging-trials/index.aspx</w:t>
      </w:r>
      <w:r>
        <w:rPr>
          <w:rFonts w:asciiTheme="minorHAnsi" w:hAnsiTheme="minorHAnsi" w:cstheme="minorHAnsi"/>
          <w:sz w:val="23"/>
          <w:szCs w:val="23"/>
        </w:rPr>
        <w:t xml:space="preserve">. </w:t>
      </w:r>
    </w:p>
    <w:p w:rsidR="007D75A8" w:rsidRDefault="007D75A8" w:rsidP="00984A97">
      <w:pPr>
        <w:pStyle w:val="Default"/>
        <w:spacing w:before="240" w:after="240"/>
        <w:rPr>
          <w:rFonts w:asciiTheme="minorHAnsi" w:hAnsiTheme="minorHAnsi" w:cstheme="minorHAnsi"/>
          <w:sz w:val="23"/>
          <w:szCs w:val="23"/>
        </w:rPr>
      </w:pPr>
    </w:p>
    <w:p w:rsidR="00760E62" w:rsidRDefault="00F40DC5" w:rsidP="00F40DC5">
      <w:pPr>
        <w:pStyle w:val="Default"/>
        <w:spacing w:before="240" w:after="240"/>
        <w:jc w:val="center"/>
        <w:rPr>
          <w:rFonts w:cstheme="minorHAnsi"/>
        </w:rPr>
      </w:pPr>
      <w:r>
        <w:rPr>
          <w:rFonts w:cstheme="minorHAnsi"/>
          <w:noProof/>
          <w:lang w:eastAsia="en-AU"/>
        </w:rPr>
        <w:drawing>
          <wp:inline distT="0" distB="0" distL="0" distR="0" wp14:anchorId="2ED799AD" wp14:editId="5EEF1E9C">
            <wp:extent cx="5860886" cy="41433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2845" cy="4144760"/>
                    </a:xfrm>
                    <a:prstGeom prst="rect">
                      <a:avLst/>
                    </a:prstGeom>
                    <a:noFill/>
                    <a:ln>
                      <a:noFill/>
                    </a:ln>
                  </pic:spPr>
                </pic:pic>
              </a:graphicData>
            </a:graphic>
          </wp:inline>
        </w:drawing>
      </w:r>
    </w:p>
    <w:p w:rsidR="00760E62" w:rsidRDefault="00760E62" w:rsidP="00760E62">
      <w:pPr>
        <w:spacing w:after="160" w:line="259" w:lineRule="auto"/>
        <w:contextualSpacing/>
        <w:rPr>
          <w:rFonts w:cstheme="minorHAnsi"/>
        </w:rPr>
      </w:pPr>
    </w:p>
    <w:p w:rsidR="00577597" w:rsidRPr="0068651C" w:rsidRDefault="00577597" w:rsidP="00577597">
      <w:pPr>
        <w:pStyle w:val="PPhdg1"/>
      </w:pPr>
      <w:bookmarkStart w:id="21" w:name="_Toc518908886"/>
      <w:r>
        <w:t>Next steps</w:t>
      </w:r>
      <w:bookmarkEnd w:id="21"/>
    </w:p>
    <w:p w:rsidR="00A83E7A" w:rsidRDefault="008D288F" w:rsidP="00760E62">
      <w:pPr>
        <w:spacing w:after="160" w:line="259" w:lineRule="auto"/>
        <w:contextualSpacing/>
        <w:rPr>
          <w:rFonts w:cstheme="minorHAnsi"/>
          <w:sz w:val="23"/>
          <w:szCs w:val="23"/>
        </w:rPr>
      </w:pPr>
      <w:r>
        <w:rPr>
          <w:rFonts w:cstheme="minorHAnsi"/>
          <w:sz w:val="23"/>
          <w:szCs w:val="23"/>
        </w:rPr>
        <w:t>Governments are keen to continue working with heavy vehicle industry bodies, representatives and operators to better understand their needs and views on heavy vehicle road reform</w:t>
      </w:r>
      <w:r w:rsidR="00BC16D0">
        <w:rPr>
          <w:rFonts w:cstheme="minorHAnsi"/>
          <w:sz w:val="23"/>
          <w:szCs w:val="23"/>
        </w:rPr>
        <w:t>,</w:t>
      </w:r>
      <w:r>
        <w:rPr>
          <w:rFonts w:cstheme="minorHAnsi"/>
          <w:sz w:val="23"/>
          <w:szCs w:val="23"/>
        </w:rPr>
        <w:t xml:space="preserve"> to inform </w:t>
      </w:r>
      <w:r w:rsidR="00BC16D0">
        <w:rPr>
          <w:rFonts w:cstheme="minorHAnsi"/>
          <w:sz w:val="23"/>
          <w:szCs w:val="23"/>
        </w:rPr>
        <w:t xml:space="preserve">the </w:t>
      </w:r>
      <w:r w:rsidR="00A83E7A">
        <w:rPr>
          <w:rFonts w:cstheme="minorHAnsi"/>
          <w:sz w:val="23"/>
          <w:szCs w:val="23"/>
        </w:rPr>
        <w:t>assessment of</w:t>
      </w:r>
      <w:r>
        <w:rPr>
          <w:rFonts w:cstheme="minorHAnsi"/>
          <w:sz w:val="23"/>
          <w:szCs w:val="23"/>
        </w:rPr>
        <w:t xml:space="preserve"> implementation decisions</w:t>
      </w:r>
      <w:r w:rsidR="003A530A">
        <w:rPr>
          <w:rFonts w:cstheme="minorHAnsi"/>
          <w:sz w:val="23"/>
          <w:szCs w:val="23"/>
        </w:rPr>
        <w:t xml:space="preserve"> to transition to a new system</w:t>
      </w:r>
      <w:r>
        <w:rPr>
          <w:rFonts w:cstheme="minorHAnsi"/>
          <w:sz w:val="23"/>
          <w:szCs w:val="23"/>
        </w:rPr>
        <w:t xml:space="preserve">. </w:t>
      </w:r>
      <w:r w:rsidR="00A83E7A">
        <w:rPr>
          <w:rFonts w:cstheme="minorHAnsi"/>
          <w:sz w:val="23"/>
          <w:szCs w:val="23"/>
        </w:rPr>
        <w:t xml:space="preserve">In 2018, </w:t>
      </w:r>
      <w:r w:rsidR="004A0B81">
        <w:rPr>
          <w:rFonts w:cstheme="minorHAnsi"/>
          <w:sz w:val="23"/>
          <w:szCs w:val="23"/>
        </w:rPr>
        <w:t>industry can get involved with two key processes</w:t>
      </w:r>
      <w:r w:rsidR="00A83E7A">
        <w:rPr>
          <w:rFonts w:cstheme="minorHAnsi"/>
          <w:sz w:val="23"/>
          <w:szCs w:val="23"/>
        </w:rPr>
        <w:t xml:space="preserve">: </w:t>
      </w:r>
    </w:p>
    <w:p w:rsidR="008D288F" w:rsidRPr="004B6C3D" w:rsidRDefault="004A0B81" w:rsidP="004B6C3D">
      <w:pPr>
        <w:pStyle w:val="ListParagraph"/>
        <w:ind w:left="760" w:hanging="357"/>
        <w:contextualSpacing w:val="0"/>
        <w:rPr>
          <w:sz w:val="23"/>
          <w:szCs w:val="23"/>
        </w:rPr>
      </w:pPr>
      <w:r w:rsidRPr="004B6C3D">
        <w:rPr>
          <w:sz w:val="23"/>
          <w:szCs w:val="23"/>
        </w:rPr>
        <w:t>The public c</w:t>
      </w:r>
      <w:r w:rsidR="00A83E7A" w:rsidRPr="004B6C3D">
        <w:rPr>
          <w:sz w:val="23"/>
          <w:szCs w:val="23"/>
        </w:rPr>
        <w:t xml:space="preserve">onsultation on the regulation impact statement </w:t>
      </w:r>
      <w:r w:rsidRPr="004B6C3D">
        <w:rPr>
          <w:sz w:val="23"/>
          <w:szCs w:val="23"/>
        </w:rPr>
        <w:t xml:space="preserve">assessing the costs and benefits of independent price regulation. </w:t>
      </w:r>
    </w:p>
    <w:p w:rsidR="00A83E7A" w:rsidRPr="004B6C3D" w:rsidRDefault="00FC340A" w:rsidP="004B6C3D">
      <w:pPr>
        <w:pStyle w:val="ListParagraph"/>
        <w:ind w:left="760" w:hanging="357"/>
        <w:contextualSpacing w:val="0"/>
        <w:rPr>
          <w:sz w:val="23"/>
          <w:szCs w:val="23"/>
        </w:rPr>
      </w:pPr>
      <w:r w:rsidRPr="004B6C3D">
        <w:rPr>
          <w:sz w:val="23"/>
          <w:szCs w:val="23"/>
        </w:rPr>
        <w:t>Design of the National Heavy Vehicle Charging Pilot.</w:t>
      </w:r>
    </w:p>
    <w:p w:rsidR="00577597" w:rsidRPr="004B6C3D" w:rsidRDefault="00577597" w:rsidP="00760E62">
      <w:pPr>
        <w:spacing w:after="160" w:line="259" w:lineRule="auto"/>
        <w:contextualSpacing/>
        <w:rPr>
          <w:rFonts w:cstheme="minorHAnsi"/>
          <w:sz w:val="23"/>
          <w:szCs w:val="23"/>
        </w:rPr>
        <w:sectPr w:rsidR="00577597" w:rsidRPr="004B6C3D" w:rsidSect="008A5355">
          <w:headerReference w:type="default" r:id="rId17"/>
          <w:footerReference w:type="default" r:id="rId18"/>
          <w:footerReference w:type="first" r:id="rId19"/>
          <w:pgSz w:w="11906" w:h="16838" w:code="9"/>
          <w:pgMar w:top="567" w:right="1418" w:bottom="1134" w:left="1418" w:header="567" w:footer="567" w:gutter="0"/>
          <w:cols w:space="708"/>
          <w:titlePg/>
          <w:docGrid w:linePitch="360"/>
        </w:sectPr>
      </w:pPr>
    </w:p>
    <w:p w:rsidR="00845F64" w:rsidRDefault="00845F64" w:rsidP="00E32217"/>
    <w:p w:rsidR="001F496A" w:rsidRDefault="001F496A" w:rsidP="00E32217"/>
    <w:p w:rsidR="001F496A" w:rsidRDefault="001F496A" w:rsidP="00E32217"/>
    <w:p w:rsidR="00845F64" w:rsidRPr="00DF52F5" w:rsidRDefault="00845F64" w:rsidP="00E32217">
      <w:r>
        <w:t>[This page has been left intentionally blank]</w:t>
      </w:r>
    </w:p>
    <w:sectPr w:rsidR="00845F64" w:rsidRPr="00DF52F5" w:rsidSect="007075C6">
      <w:headerReference w:type="even" r:id="rId20"/>
      <w:headerReference w:type="default" r:id="rId21"/>
      <w:pgSz w:w="11906" w:h="16838"/>
      <w:pgMar w:top="1087" w:right="1440" w:bottom="1440" w:left="1440" w:header="708" w:footer="9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A41" w:rsidRDefault="00DF5A41" w:rsidP="00DF52F5">
      <w:r>
        <w:separator/>
      </w:r>
    </w:p>
    <w:p w:rsidR="00DF5A41" w:rsidRDefault="00DF5A41" w:rsidP="00DF52F5"/>
    <w:p w:rsidR="00DF5A41" w:rsidRDefault="00DF5A41" w:rsidP="00DF52F5"/>
    <w:p w:rsidR="00DF5A41" w:rsidRDefault="00DF5A41" w:rsidP="00DF52F5"/>
  </w:endnote>
  <w:endnote w:type="continuationSeparator" w:id="0">
    <w:p w:rsidR="00DF5A41" w:rsidRDefault="00DF5A41" w:rsidP="00DF52F5">
      <w:r>
        <w:continuationSeparator/>
      </w:r>
    </w:p>
    <w:p w:rsidR="00DF5A41" w:rsidRDefault="00DF5A41" w:rsidP="00DF52F5"/>
    <w:p w:rsidR="00DF5A41" w:rsidRDefault="00DF5A41" w:rsidP="00DF52F5"/>
    <w:p w:rsidR="00DF5A41" w:rsidRDefault="00DF5A41" w:rsidP="00DF5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FranklinGothic-Book">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Whitney Book">
    <w:altName w:val="Whitney Book"/>
    <w:panose1 w:val="00000000000000000000"/>
    <w:charset w:val="00"/>
    <w:family w:val="swiss"/>
    <w:notTrueType/>
    <w:pitch w:val="default"/>
    <w:sig w:usb0="00000003" w:usb1="00000000" w:usb2="00000000" w:usb3="00000000" w:csb0="00000001" w:csb1="00000000"/>
  </w:font>
  <w:font w:name="Whitney Bold">
    <w:altName w:val="Whitney Bold"/>
    <w:panose1 w:val="00000000000000000000"/>
    <w:charset w:val="00"/>
    <w:family w:val="swiss"/>
    <w:notTrueType/>
    <w:pitch w:val="default"/>
    <w:sig w:usb0="00000003" w:usb1="00000000" w:usb2="00000000" w:usb3="00000000" w:csb0="00000001" w:csb1="00000000"/>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226162"/>
      <w:docPartObj>
        <w:docPartGallery w:val="Page Numbers (Bottom of Page)"/>
        <w:docPartUnique/>
      </w:docPartObj>
    </w:sdtPr>
    <w:sdtEndPr/>
    <w:sdtContent>
      <w:sdt>
        <w:sdtPr>
          <w:id w:val="336964608"/>
          <w:docPartObj>
            <w:docPartGallery w:val="Page Numbers (Top of Page)"/>
            <w:docPartUnique/>
          </w:docPartObj>
        </w:sdtPr>
        <w:sdtEndPr/>
        <w:sdtContent>
          <w:p w:rsidR="00A4009B" w:rsidRDefault="00A4009B" w:rsidP="00CB7BC5">
            <w:pPr>
              <w:pStyle w:val="Footer"/>
              <w:spacing w:before="240"/>
              <w:jc w:val="right"/>
            </w:pPr>
            <w:r>
              <w:t xml:space="preserve">Page </w:t>
            </w:r>
            <w:r>
              <w:rPr>
                <w:b/>
                <w:bCs/>
              </w:rPr>
              <w:fldChar w:fldCharType="begin"/>
            </w:r>
            <w:r>
              <w:rPr>
                <w:b/>
                <w:bCs/>
              </w:rPr>
              <w:instrText xml:space="preserve"> PAGE </w:instrText>
            </w:r>
            <w:r>
              <w:rPr>
                <w:b/>
                <w:bCs/>
              </w:rPr>
              <w:fldChar w:fldCharType="separate"/>
            </w:r>
            <w:r w:rsidR="00401A12">
              <w:rPr>
                <w:b/>
                <w:bCs/>
                <w:noProof/>
              </w:rPr>
              <w:t>12</w:t>
            </w:r>
            <w:r>
              <w:rPr>
                <w:b/>
                <w:bCs/>
              </w:rPr>
              <w:fldChar w:fldCharType="end"/>
            </w:r>
            <w:r>
              <w:t xml:space="preserve"> of </w:t>
            </w:r>
            <w:r>
              <w:rPr>
                <w:b/>
                <w:bCs/>
              </w:rPr>
              <w:fldChar w:fldCharType="begin"/>
            </w:r>
            <w:r>
              <w:rPr>
                <w:b/>
                <w:bCs/>
              </w:rPr>
              <w:instrText xml:space="preserve"> NUMPAGES  </w:instrText>
            </w:r>
            <w:r>
              <w:rPr>
                <w:b/>
                <w:bCs/>
              </w:rPr>
              <w:fldChar w:fldCharType="separate"/>
            </w:r>
            <w:r w:rsidR="00401A12">
              <w:rPr>
                <w:b/>
                <w:bCs/>
                <w:noProof/>
              </w:rPr>
              <w:t>12</w:t>
            </w:r>
            <w:r>
              <w:rPr>
                <w:b/>
                <w:bCs/>
              </w:rPr>
              <w:fldChar w:fldCharType="end"/>
            </w:r>
          </w:p>
        </w:sdtContent>
      </w:sdt>
    </w:sdtContent>
  </w:sdt>
  <w:p w:rsidR="00A4009B" w:rsidRDefault="00A40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09B" w:rsidRDefault="00A4009B" w:rsidP="00CB7BC5">
    <w:pPr>
      <w:pStyle w:val="Footer"/>
      <w:spacing w:before="240"/>
      <w:jc w:val="right"/>
    </w:pPr>
  </w:p>
  <w:p w:rsidR="00A4009B" w:rsidRDefault="00A4009B" w:rsidP="00CB7B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A41" w:rsidRDefault="00DF5A41" w:rsidP="00DF52F5">
      <w:r>
        <w:separator/>
      </w:r>
    </w:p>
  </w:footnote>
  <w:footnote w:type="continuationSeparator" w:id="0">
    <w:p w:rsidR="00DF5A41" w:rsidRDefault="00DF5A41" w:rsidP="00DF52F5">
      <w:r>
        <w:continuationSeparator/>
      </w:r>
    </w:p>
    <w:p w:rsidR="00DF5A41" w:rsidRDefault="00DF5A41" w:rsidP="00DF52F5"/>
    <w:p w:rsidR="00DF5A41" w:rsidRDefault="00DF5A41" w:rsidP="00DF52F5"/>
    <w:p w:rsidR="00DF5A41" w:rsidRDefault="00DF5A41" w:rsidP="00DF52F5"/>
  </w:footnote>
  <w:footnote w:id="1">
    <w:p w:rsidR="00B1715C" w:rsidRPr="00AC4FA9" w:rsidRDefault="00B1715C" w:rsidP="00B1715C">
      <w:pPr>
        <w:pStyle w:val="FootnoteText"/>
        <w:rPr>
          <w:lang w:val="en-US"/>
        </w:rPr>
      </w:pPr>
      <w:r>
        <w:rPr>
          <w:rStyle w:val="FootnoteReference"/>
        </w:rPr>
        <w:footnoteRef/>
      </w:r>
      <w:r>
        <w:t xml:space="preserve"> </w:t>
      </w:r>
      <w:r w:rsidRPr="004F4A75">
        <w:rPr>
          <w:iCs/>
          <w:szCs w:val="22"/>
          <w:lang w:val="en" w:eastAsia="zh-CN"/>
        </w:rPr>
        <w:t xml:space="preserve">Bureau of Infrastructure, Transport and Regional Economics (BITRE) (2017), </w:t>
      </w:r>
      <w:r w:rsidRPr="004F4A75">
        <w:rPr>
          <w:i/>
          <w:iCs/>
          <w:szCs w:val="22"/>
          <w:lang w:val="en" w:eastAsia="zh-CN"/>
        </w:rPr>
        <w:t xml:space="preserve">Yearbook 2017: Australian Infrastructure Statistics, </w:t>
      </w:r>
      <w:hyperlink r:id="rId1" w:history="1">
        <w:r w:rsidRPr="004F4A75">
          <w:rPr>
            <w:rStyle w:val="Hyperlink"/>
            <w:iCs/>
            <w:szCs w:val="22"/>
            <w:lang w:val="en" w:eastAsia="zh-CN"/>
          </w:rPr>
          <w:t>https://bitre.gov.au/publications/2017/yearbook_2017.aspx</w:t>
        </w:r>
      </w:hyperlink>
    </w:p>
  </w:footnote>
  <w:footnote w:id="2">
    <w:p w:rsidR="003858A6" w:rsidRPr="003858A6" w:rsidRDefault="003858A6">
      <w:pPr>
        <w:pStyle w:val="FootnoteText"/>
        <w:rPr>
          <w:lang w:val="en-US"/>
        </w:rPr>
      </w:pPr>
      <w:r>
        <w:rPr>
          <w:rStyle w:val="FootnoteReference"/>
        </w:rPr>
        <w:footnoteRef/>
      </w:r>
      <w:r>
        <w:t xml:space="preserve"> </w:t>
      </w:r>
      <w:r>
        <w:rPr>
          <w:lang w:val="en-US"/>
        </w:rPr>
        <w:t xml:space="preserve">ACIL Allen, </w:t>
      </w:r>
      <w:r>
        <w:rPr>
          <w:i/>
          <w:lang w:val="en-US"/>
        </w:rPr>
        <w:t>The Economic Significance of the Australian Logistics Industry</w:t>
      </w:r>
      <w:r w:rsidR="00F46091">
        <w:rPr>
          <w:lang w:val="en-US"/>
        </w:rPr>
        <w:t xml:space="preserve">, </w:t>
      </w:r>
      <w:r>
        <w:rPr>
          <w:lang w:val="en-US"/>
        </w:rPr>
        <w:t>report commissioned for the Australian Logistics Counc</w:t>
      </w:r>
      <w:r w:rsidR="00F46091">
        <w:rPr>
          <w:lang w:val="en-US"/>
        </w:rPr>
        <w:t>il, 2014.</w:t>
      </w:r>
    </w:p>
  </w:footnote>
  <w:footnote w:id="3">
    <w:p w:rsidR="003858A6" w:rsidRPr="003858A6" w:rsidRDefault="003858A6">
      <w:pPr>
        <w:pStyle w:val="FootnoteText"/>
        <w:rPr>
          <w:lang w:val="en-US"/>
        </w:rPr>
      </w:pPr>
      <w:r>
        <w:rPr>
          <w:rStyle w:val="FootnoteReference"/>
        </w:rPr>
        <w:footnoteRef/>
      </w:r>
      <w:r>
        <w:t xml:space="preserve"> </w:t>
      </w:r>
      <w:r w:rsidR="00FA5B8F">
        <w:rPr>
          <w:lang w:val="en-US"/>
        </w:rPr>
        <w:t>S Alchin</w:t>
      </w:r>
      <w:r>
        <w:rPr>
          <w:lang w:val="en-US"/>
        </w:rPr>
        <w:t xml:space="preserve">, </w:t>
      </w:r>
      <w:r>
        <w:rPr>
          <w:i/>
          <w:lang w:val="en-US"/>
        </w:rPr>
        <w:t>Establishing a regulated asset base and applying a corporatised delivery model to the Australian road network – opportunities and challenges</w:t>
      </w:r>
      <w:r w:rsidR="00FA5B8F">
        <w:rPr>
          <w:lang w:val="en-US"/>
        </w:rPr>
        <w:t>, ITF Discussion Paper, 2018</w:t>
      </w:r>
      <w:r>
        <w:rPr>
          <w:lang w:val="en-US"/>
        </w:rPr>
        <w:t xml:space="preserve">. </w:t>
      </w:r>
    </w:p>
  </w:footnote>
  <w:footnote w:id="4">
    <w:p w:rsidR="00085BC3" w:rsidRPr="00EC1FC7" w:rsidRDefault="00085BC3">
      <w:pPr>
        <w:pStyle w:val="FootnoteText"/>
        <w:rPr>
          <w:lang w:val="en-US"/>
        </w:rPr>
      </w:pPr>
      <w:r>
        <w:rPr>
          <w:rStyle w:val="FootnoteReference"/>
        </w:rPr>
        <w:footnoteRef/>
      </w:r>
      <w:r>
        <w:t xml:space="preserve"> </w:t>
      </w:r>
      <w:r>
        <w:rPr>
          <w:lang w:val="en-US"/>
        </w:rPr>
        <w:t xml:space="preserve">Australian Bureau of Statistics, </w:t>
      </w:r>
      <w:r w:rsidRPr="00EC1FC7">
        <w:rPr>
          <w:i/>
          <w:lang w:val="en-US"/>
        </w:rPr>
        <w:t>Motor Vehicle Census, Australia, 31 January 2017</w:t>
      </w:r>
      <w:r w:rsidR="00EC1FC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09B" w:rsidRPr="00A4009B" w:rsidRDefault="00A4009B" w:rsidP="00A4009B">
    <w:pPr>
      <w:pBdr>
        <w:bottom w:val="single" w:sz="4" w:space="1" w:color="auto"/>
      </w:pBdr>
      <w:spacing w:after="360"/>
      <w:rPr>
        <w:rFonts w:asciiTheme="minorHAnsi" w:hAnsiTheme="minorHAnsi" w:cstheme="minorHAnsi"/>
      </w:rPr>
    </w:pPr>
    <w:r w:rsidRPr="00A4009B">
      <w:rPr>
        <w:rFonts w:asciiTheme="minorHAnsi" w:hAnsiTheme="minorHAnsi" w:cstheme="minorHAnsi"/>
        <w:b/>
        <w:i/>
        <w:color w:val="17365D"/>
      </w:rPr>
      <w:t>Changes to heavy vehicle road delivery</w:t>
    </w:r>
    <w:r w:rsidRPr="00A4009B">
      <w:rPr>
        <w:rFonts w:asciiTheme="minorHAnsi" w:hAnsiTheme="minorHAnsi" w:cstheme="minorHAnsi"/>
        <w:color w:val="17365D"/>
      </w:rPr>
      <w:tab/>
    </w:r>
    <w:r w:rsidRPr="00A4009B">
      <w:rPr>
        <w:rFonts w:asciiTheme="minorHAnsi" w:hAnsiTheme="minorHAnsi" w:cstheme="minorHAnsi"/>
        <w:color w:val="17365D"/>
      </w:rPr>
      <w:tab/>
    </w:r>
    <w:r>
      <w:rPr>
        <w:rFonts w:asciiTheme="minorHAnsi" w:hAnsiTheme="minorHAnsi" w:cstheme="minorHAnsi"/>
        <w:color w:val="17365D"/>
      </w:rPr>
      <w:tab/>
    </w:r>
    <w:r>
      <w:rPr>
        <w:rFonts w:asciiTheme="minorHAnsi" w:hAnsiTheme="minorHAnsi" w:cstheme="minorHAnsi"/>
        <w:color w:val="17365D"/>
      </w:rPr>
      <w:tab/>
    </w:r>
    <w:r w:rsidRPr="00A4009B">
      <w:rPr>
        <w:rFonts w:asciiTheme="minorHAnsi" w:hAnsiTheme="minorHAnsi" w:cstheme="minorHAnsi"/>
        <w:color w:val="17365D"/>
      </w:rPr>
      <w:t>HVRR Background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58E" w:rsidRDefault="00DF5A41" w:rsidP="00DF52F5">
    <w:pPr>
      <w:pStyle w:val="Header"/>
    </w:pPr>
    <w:r>
      <w:rPr>
        <w:noProof/>
      </w:rPr>
      <w:pict w14:anchorId="2A6C9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384" o:spid="_x0000_s2051" type="#_x0000_t136" style="position:absolute;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rsidR="008C7638" w:rsidRDefault="008C7638" w:rsidP="00DF52F5"/>
  <w:p w:rsidR="008C7638" w:rsidRDefault="008C7638" w:rsidP="00DF52F5"/>
  <w:p w:rsidR="008C7638" w:rsidRDefault="008C7638" w:rsidP="00DF52F5"/>
  <w:p w:rsidR="008C7638" w:rsidRDefault="008C7638" w:rsidP="00DF52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638" w:rsidRPr="00DF52F5" w:rsidRDefault="008C7638" w:rsidP="00DF52F5">
    <w:pPr>
      <w:pStyle w:val="HeaderFOUO"/>
    </w:pPr>
  </w:p>
  <w:p w:rsidR="00562895" w:rsidRPr="00DF52F5" w:rsidRDefault="00562895" w:rsidP="00DF52F5">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C32BE"/>
    <w:multiLevelType w:val="hybridMultilevel"/>
    <w:tmpl w:val="39107E8A"/>
    <w:lvl w:ilvl="0" w:tplc="99CEFF9E">
      <w:start w:val="1"/>
      <w:numFmt w:val="bullet"/>
      <w:lvlText w:val=""/>
      <w:lvlJc w:val="left"/>
      <w:pPr>
        <w:ind w:left="720" w:hanging="360"/>
      </w:pPr>
      <w:rPr>
        <w:rFonts w:ascii="Symbol" w:hAnsi="Symbol" w:hint="default"/>
      </w:rPr>
    </w:lvl>
    <w:lvl w:ilvl="1" w:tplc="11D0D914">
      <w:start w:val="1"/>
      <w:numFmt w:val="bullet"/>
      <w:lvlText w:val=""/>
      <w:lvlJc w:val="left"/>
      <w:pPr>
        <w:ind w:left="851" w:hanging="284"/>
      </w:pPr>
      <w:rPr>
        <w:rFonts w:ascii="Symbol" w:hAnsi="Symbol" w:hint="default"/>
      </w:rPr>
    </w:lvl>
    <w:lvl w:ilvl="2" w:tplc="C8D2D8BE" w:tentative="1">
      <w:start w:val="1"/>
      <w:numFmt w:val="bullet"/>
      <w:lvlText w:val=""/>
      <w:lvlJc w:val="left"/>
      <w:pPr>
        <w:ind w:left="2160" w:hanging="360"/>
      </w:pPr>
      <w:rPr>
        <w:rFonts w:ascii="Wingdings" w:hAnsi="Wingdings" w:hint="default"/>
      </w:rPr>
    </w:lvl>
    <w:lvl w:ilvl="3" w:tplc="A17C81F2" w:tentative="1">
      <w:start w:val="1"/>
      <w:numFmt w:val="bullet"/>
      <w:lvlText w:val=""/>
      <w:lvlJc w:val="left"/>
      <w:pPr>
        <w:ind w:left="2880" w:hanging="360"/>
      </w:pPr>
      <w:rPr>
        <w:rFonts w:ascii="Symbol" w:hAnsi="Symbol" w:hint="default"/>
      </w:rPr>
    </w:lvl>
    <w:lvl w:ilvl="4" w:tplc="A59822A0" w:tentative="1">
      <w:start w:val="1"/>
      <w:numFmt w:val="bullet"/>
      <w:lvlText w:val="o"/>
      <w:lvlJc w:val="left"/>
      <w:pPr>
        <w:ind w:left="3600" w:hanging="360"/>
      </w:pPr>
      <w:rPr>
        <w:rFonts w:ascii="Courier New" w:hAnsi="Courier New" w:cs="Courier New" w:hint="default"/>
      </w:rPr>
    </w:lvl>
    <w:lvl w:ilvl="5" w:tplc="C3C867E8" w:tentative="1">
      <w:start w:val="1"/>
      <w:numFmt w:val="bullet"/>
      <w:lvlText w:val=""/>
      <w:lvlJc w:val="left"/>
      <w:pPr>
        <w:ind w:left="4320" w:hanging="360"/>
      </w:pPr>
      <w:rPr>
        <w:rFonts w:ascii="Wingdings" w:hAnsi="Wingdings" w:hint="default"/>
      </w:rPr>
    </w:lvl>
    <w:lvl w:ilvl="6" w:tplc="BB7C19CC" w:tentative="1">
      <w:start w:val="1"/>
      <w:numFmt w:val="bullet"/>
      <w:lvlText w:val=""/>
      <w:lvlJc w:val="left"/>
      <w:pPr>
        <w:ind w:left="5040" w:hanging="360"/>
      </w:pPr>
      <w:rPr>
        <w:rFonts w:ascii="Symbol" w:hAnsi="Symbol" w:hint="default"/>
      </w:rPr>
    </w:lvl>
    <w:lvl w:ilvl="7" w:tplc="E8161762" w:tentative="1">
      <w:start w:val="1"/>
      <w:numFmt w:val="bullet"/>
      <w:lvlText w:val="o"/>
      <w:lvlJc w:val="left"/>
      <w:pPr>
        <w:ind w:left="5760" w:hanging="360"/>
      </w:pPr>
      <w:rPr>
        <w:rFonts w:ascii="Courier New" w:hAnsi="Courier New" w:cs="Courier New" w:hint="default"/>
      </w:rPr>
    </w:lvl>
    <w:lvl w:ilvl="8" w:tplc="86CA9DB0" w:tentative="1">
      <w:start w:val="1"/>
      <w:numFmt w:val="bullet"/>
      <w:lvlText w:val=""/>
      <w:lvlJc w:val="left"/>
      <w:pPr>
        <w:ind w:left="6480" w:hanging="360"/>
      </w:pPr>
      <w:rPr>
        <w:rFonts w:ascii="Wingdings" w:hAnsi="Wingdings" w:hint="default"/>
      </w:rPr>
    </w:lvl>
  </w:abstractNum>
  <w:abstractNum w:abstractNumId="1" w15:restartNumberingAfterBreak="0">
    <w:nsid w:val="1EFC5BFD"/>
    <w:multiLevelType w:val="hybridMultilevel"/>
    <w:tmpl w:val="4B4C0612"/>
    <w:lvl w:ilvl="0" w:tplc="02AA6D7A">
      <w:start w:val="1"/>
      <w:numFmt w:val="decimal"/>
      <w:pStyle w:val="PPhd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E9548B"/>
    <w:multiLevelType w:val="hybridMultilevel"/>
    <w:tmpl w:val="87F0614E"/>
    <w:lvl w:ilvl="0" w:tplc="58D4448A">
      <w:start w:val="1"/>
      <w:numFmt w:val="bullet"/>
      <w:pStyle w:val="ListParagraph"/>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4" w15:restartNumberingAfterBreak="0">
    <w:nsid w:val="3EA80608"/>
    <w:multiLevelType w:val="hybridMultilevel"/>
    <w:tmpl w:val="2900343E"/>
    <w:lvl w:ilvl="0" w:tplc="7A6263D0">
      <w:start w:val="1"/>
      <w:numFmt w:val="decimal"/>
      <w:lvlText w:val="%1."/>
      <w:lvlJc w:val="left"/>
      <w:pPr>
        <w:ind w:left="720" w:hanging="360"/>
      </w:pPr>
    </w:lvl>
    <w:lvl w:ilvl="1" w:tplc="9E62C484">
      <w:start w:val="1"/>
      <w:numFmt w:val="lowerLetter"/>
      <w:lvlText w:val="%2."/>
      <w:lvlJc w:val="left"/>
      <w:pPr>
        <w:ind w:left="1440" w:hanging="360"/>
      </w:pPr>
    </w:lvl>
    <w:lvl w:ilvl="2" w:tplc="9104C448" w:tentative="1">
      <w:start w:val="1"/>
      <w:numFmt w:val="lowerRoman"/>
      <w:lvlText w:val="%3."/>
      <w:lvlJc w:val="right"/>
      <w:pPr>
        <w:ind w:left="2160" w:hanging="180"/>
      </w:pPr>
    </w:lvl>
    <w:lvl w:ilvl="3" w:tplc="9FC0FEA6" w:tentative="1">
      <w:start w:val="1"/>
      <w:numFmt w:val="decimal"/>
      <w:lvlText w:val="%4."/>
      <w:lvlJc w:val="left"/>
      <w:pPr>
        <w:ind w:left="2880" w:hanging="360"/>
      </w:pPr>
    </w:lvl>
    <w:lvl w:ilvl="4" w:tplc="E906455E" w:tentative="1">
      <w:start w:val="1"/>
      <w:numFmt w:val="lowerLetter"/>
      <w:lvlText w:val="%5."/>
      <w:lvlJc w:val="left"/>
      <w:pPr>
        <w:ind w:left="3600" w:hanging="360"/>
      </w:pPr>
    </w:lvl>
    <w:lvl w:ilvl="5" w:tplc="9CAC0B0E" w:tentative="1">
      <w:start w:val="1"/>
      <w:numFmt w:val="lowerRoman"/>
      <w:lvlText w:val="%6."/>
      <w:lvlJc w:val="right"/>
      <w:pPr>
        <w:ind w:left="4320" w:hanging="180"/>
      </w:pPr>
    </w:lvl>
    <w:lvl w:ilvl="6" w:tplc="89146AFC" w:tentative="1">
      <w:start w:val="1"/>
      <w:numFmt w:val="decimal"/>
      <w:lvlText w:val="%7."/>
      <w:lvlJc w:val="left"/>
      <w:pPr>
        <w:ind w:left="5040" w:hanging="360"/>
      </w:pPr>
    </w:lvl>
    <w:lvl w:ilvl="7" w:tplc="DD96716E" w:tentative="1">
      <w:start w:val="1"/>
      <w:numFmt w:val="lowerLetter"/>
      <w:lvlText w:val="%8."/>
      <w:lvlJc w:val="left"/>
      <w:pPr>
        <w:ind w:left="5760" w:hanging="360"/>
      </w:pPr>
    </w:lvl>
    <w:lvl w:ilvl="8" w:tplc="25D8230A" w:tentative="1">
      <w:start w:val="1"/>
      <w:numFmt w:val="lowerRoman"/>
      <w:lvlText w:val="%9."/>
      <w:lvlJc w:val="right"/>
      <w:pPr>
        <w:ind w:left="6480" w:hanging="180"/>
      </w:pPr>
    </w:lvl>
  </w:abstractNum>
  <w:abstractNum w:abstractNumId="5" w15:restartNumberingAfterBreak="0">
    <w:nsid w:val="488D08D4"/>
    <w:multiLevelType w:val="hybridMultilevel"/>
    <w:tmpl w:val="C7F0D9F6"/>
    <w:lvl w:ilvl="0" w:tplc="AE8EFD86">
      <w:start w:val="1"/>
      <w:numFmt w:val="bullet"/>
      <w:lvlText w:val="•"/>
      <w:lvlJc w:val="left"/>
      <w:pPr>
        <w:tabs>
          <w:tab w:val="num" w:pos="720"/>
        </w:tabs>
        <w:ind w:left="113" w:hanging="113"/>
      </w:pPr>
      <w:rPr>
        <w:rFonts w:ascii="Times New Roman" w:hAnsi="Times New Roman" w:cs="Times New Roman" w:hint="default"/>
      </w:rPr>
    </w:lvl>
    <w:lvl w:ilvl="1" w:tplc="53D0B690" w:tentative="1">
      <w:start w:val="1"/>
      <w:numFmt w:val="bullet"/>
      <w:lvlText w:val="•"/>
      <w:lvlJc w:val="left"/>
      <w:pPr>
        <w:tabs>
          <w:tab w:val="num" w:pos="1440"/>
        </w:tabs>
        <w:ind w:left="1440" w:hanging="360"/>
      </w:pPr>
      <w:rPr>
        <w:rFonts w:ascii="Times New Roman" w:hAnsi="Times New Roman" w:hint="default"/>
      </w:rPr>
    </w:lvl>
    <w:lvl w:ilvl="2" w:tplc="3FE48AB2" w:tentative="1">
      <w:start w:val="1"/>
      <w:numFmt w:val="bullet"/>
      <w:lvlText w:val="•"/>
      <w:lvlJc w:val="left"/>
      <w:pPr>
        <w:tabs>
          <w:tab w:val="num" w:pos="2160"/>
        </w:tabs>
        <w:ind w:left="2160" w:hanging="360"/>
      </w:pPr>
      <w:rPr>
        <w:rFonts w:ascii="Times New Roman" w:hAnsi="Times New Roman" w:hint="default"/>
      </w:rPr>
    </w:lvl>
    <w:lvl w:ilvl="3" w:tplc="5F0240AE" w:tentative="1">
      <w:start w:val="1"/>
      <w:numFmt w:val="bullet"/>
      <w:lvlText w:val="•"/>
      <w:lvlJc w:val="left"/>
      <w:pPr>
        <w:tabs>
          <w:tab w:val="num" w:pos="2880"/>
        </w:tabs>
        <w:ind w:left="2880" w:hanging="360"/>
      </w:pPr>
      <w:rPr>
        <w:rFonts w:ascii="Times New Roman" w:hAnsi="Times New Roman" w:hint="default"/>
      </w:rPr>
    </w:lvl>
    <w:lvl w:ilvl="4" w:tplc="E4C04D24" w:tentative="1">
      <w:start w:val="1"/>
      <w:numFmt w:val="bullet"/>
      <w:lvlText w:val="•"/>
      <w:lvlJc w:val="left"/>
      <w:pPr>
        <w:tabs>
          <w:tab w:val="num" w:pos="3600"/>
        </w:tabs>
        <w:ind w:left="3600" w:hanging="360"/>
      </w:pPr>
      <w:rPr>
        <w:rFonts w:ascii="Times New Roman" w:hAnsi="Times New Roman" w:hint="default"/>
      </w:rPr>
    </w:lvl>
    <w:lvl w:ilvl="5" w:tplc="B0949BC6" w:tentative="1">
      <w:start w:val="1"/>
      <w:numFmt w:val="bullet"/>
      <w:lvlText w:val="•"/>
      <w:lvlJc w:val="left"/>
      <w:pPr>
        <w:tabs>
          <w:tab w:val="num" w:pos="4320"/>
        </w:tabs>
        <w:ind w:left="4320" w:hanging="360"/>
      </w:pPr>
      <w:rPr>
        <w:rFonts w:ascii="Times New Roman" w:hAnsi="Times New Roman" w:hint="default"/>
      </w:rPr>
    </w:lvl>
    <w:lvl w:ilvl="6" w:tplc="9118DCEE" w:tentative="1">
      <w:start w:val="1"/>
      <w:numFmt w:val="bullet"/>
      <w:lvlText w:val="•"/>
      <w:lvlJc w:val="left"/>
      <w:pPr>
        <w:tabs>
          <w:tab w:val="num" w:pos="5040"/>
        </w:tabs>
        <w:ind w:left="5040" w:hanging="360"/>
      </w:pPr>
      <w:rPr>
        <w:rFonts w:ascii="Times New Roman" w:hAnsi="Times New Roman" w:hint="default"/>
      </w:rPr>
    </w:lvl>
    <w:lvl w:ilvl="7" w:tplc="46882212" w:tentative="1">
      <w:start w:val="1"/>
      <w:numFmt w:val="bullet"/>
      <w:lvlText w:val="•"/>
      <w:lvlJc w:val="left"/>
      <w:pPr>
        <w:tabs>
          <w:tab w:val="num" w:pos="5760"/>
        </w:tabs>
        <w:ind w:left="5760" w:hanging="360"/>
      </w:pPr>
      <w:rPr>
        <w:rFonts w:ascii="Times New Roman" w:hAnsi="Times New Roman" w:hint="default"/>
      </w:rPr>
    </w:lvl>
    <w:lvl w:ilvl="8" w:tplc="6798A52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C4829AD"/>
    <w:multiLevelType w:val="hybridMultilevel"/>
    <w:tmpl w:val="054C77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56592E"/>
    <w:multiLevelType w:val="multilevel"/>
    <w:tmpl w:val="C778BCD0"/>
    <w:lvl w:ilvl="0">
      <w:start w:val="2"/>
      <w:numFmt w:val="decimal"/>
      <w:pStyle w:val="NumberList"/>
      <w:lvlText w:val="%1."/>
      <w:lvlJc w:val="left"/>
      <w:pPr>
        <w:tabs>
          <w:tab w:val="num" w:pos="1778"/>
        </w:tabs>
        <w:ind w:left="1418" w:firstLine="0"/>
      </w:pPr>
      <w:rPr>
        <w:rFonts w:hint="default"/>
      </w:rPr>
    </w:lvl>
    <w:lvl w:ilvl="1">
      <w:start w:val="1"/>
      <w:numFmt w:val="lowerLetter"/>
      <w:pStyle w:val="NumberListSub"/>
      <w:lvlText w:val="(%2)"/>
      <w:lvlJc w:val="left"/>
      <w:pPr>
        <w:tabs>
          <w:tab w:val="num" w:pos="1985"/>
        </w:tabs>
        <w:ind w:left="1985" w:hanging="567"/>
      </w:pPr>
      <w:rPr>
        <w:rFonts w:hint="default"/>
      </w:rPr>
    </w:lvl>
    <w:lvl w:ilvl="2">
      <w:start w:val="1"/>
      <w:numFmt w:val="lowerRoman"/>
      <w:lvlText w:val="(%3)"/>
      <w:lvlJc w:val="left"/>
      <w:pPr>
        <w:tabs>
          <w:tab w:val="num" w:pos="3065"/>
        </w:tabs>
        <w:ind w:left="2552" w:hanging="567"/>
      </w:pPr>
      <w:rPr>
        <w:rFonts w:hint="default"/>
      </w:rPr>
    </w:lvl>
    <w:lvl w:ilvl="3">
      <w:start w:val="1"/>
      <w:numFmt w:val="decimal"/>
      <w:lvlText w:val="(%4)"/>
      <w:lvlJc w:val="left"/>
      <w:pPr>
        <w:tabs>
          <w:tab w:val="num" w:pos="2858"/>
        </w:tabs>
        <w:ind w:left="2858" w:hanging="360"/>
      </w:pPr>
      <w:rPr>
        <w:rFonts w:hint="default"/>
      </w:rPr>
    </w:lvl>
    <w:lvl w:ilvl="4">
      <w:start w:val="1"/>
      <w:numFmt w:val="lowerLetter"/>
      <w:lvlText w:val="(%5)"/>
      <w:lvlJc w:val="left"/>
      <w:pPr>
        <w:tabs>
          <w:tab w:val="num" w:pos="3218"/>
        </w:tabs>
        <w:ind w:left="3218" w:hanging="360"/>
      </w:pPr>
      <w:rPr>
        <w:rFonts w:hint="default"/>
      </w:rPr>
    </w:lvl>
    <w:lvl w:ilvl="5">
      <w:start w:val="1"/>
      <w:numFmt w:val="lowerRoman"/>
      <w:lvlText w:val="(%6)"/>
      <w:lvlJc w:val="left"/>
      <w:pPr>
        <w:tabs>
          <w:tab w:val="num" w:pos="3578"/>
        </w:tabs>
        <w:ind w:left="3578" w:hanging="360"/>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num w:numId="1">
    <w:abstractNumId w:val="7"/>
  </w:num>
  <w:num w:numId="2">
    <w:abstractNumId w:val="3"/>
  </w:num>
  <w:num w:numId="3">
    <w:abstractNumId w:val="0"/>
  </w:num>
  <w:num w:numId="4">
    <w:abstractNumId w:val="1"/>
  </w:num>
  <w:num w:numId="5">
    <w:abstractNumId w:val="5"/>
  </w:num>
  <w:num w:numId="6">
    <w:abstractNumId w:val="4"/>
  </w:num>
  <w:num w:numId="7">
    <w:abstractNumId w:val="6"/>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NZ"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26"/>
    <w:rsid w:val="0000127A"/>
    <w:rsid w:val="00003376"/>
    <w:rsid w:val="000035CE"/>
    <w:rsid w:val="00004AC0"/>
    <w:rsid w:val="000113C3"/>
    <w:rsid w:val="00011EEE"/>
    <w:rsid w:val="00012BBB"/>
    <w:rsid w:val="00013261"/>
    <w:rsid w:val="000134F4"/>
    <w:rsid w:val="000139FA"/>
    <w:rsid w:val="000143AE"/>
    <w:rsid w:val="000152F3"/>
    <w:rsid w:val="00015AE1"/>
    <w:rsid w:val="00016D62"/>
    <w:rsid w:val="000223CA"/>
    <w:rsid w:val="00022A7B"/>
    <w:rsid w:val="00023B0D"/>
    <w:rsid w:val="00023B26"/>
    <w:rsid w:val="00023E4F"/>
    <w:rsid w:val="00024456"/>
    <w:rsid w:val="00024B5E"/>
    <w:rsid w:val="000261B5"/>
    <w:rsid w:val="00026AB0"/>
    <w:rsid w:val="000306E2"/>
    <w:rsid w:val="00030F9F"/>
    <w:rsid w:val="00031479"/>
    <w:rsid w:val="000320F1"/>
    <w:rsid w:val="00033000"/>
    <w:rsid w:val="0003350D"/>
    <w:rsid w:val="00034E57"/>
    <w:rsid w:val="000351FC"/>
    <w:rsid w:val="00035D0F"/>
    <w:rsid w:val="00035E22"/>
    <w:rsid w:val="00035E4F"/>
    <w:rsid w:val="000360D5"/>
    <w:rsid w:val="00036530"/>
    <w:rsid w:val="00036D8B"/>
    <w:rsid w:val="00037D69"/>
    <w:rsid w:val="00040EFB"/>
    <w:rsid w:val="0004216C"/>
    <w:rsid w:val="000423C3"/>
    <w:rsid w:val="00042D81"/>
    <w:rsid w:val="00043631"/>
    <w:rsid w:val="00043732"/>
    <w:rsid w:val="00044482"/>
    <w:rsid w:val="00045734"/>
    <w:rsid w:val="00046D19"/>
    <w:rsid w:val="0005180B"/>
    <w:rsid w:val="000542FC"/>
    <w:rsid w:val="0005652A"/>
    <w:rsid w:val="00057172"/>
    <w:rsid w:val="0005737F"/>
    <w:rsid w:val="00064F64"/>
    <w:rsid w:val="00064FEC"/>
    <w:rsid w:val="0006587B"/>
    <w:rsid w:val="00066052"/>
    <w:rsid w:val="00066BFE"/>
    <w:rsid w:val="000673A0"/>
    <w:rsid w:val="00070F1C"/>
    <w:rsid w:val="000730B1"/>
    <w:rsid w:val="00076FC8"/>
    <w:rsid w:val="00076FD1"/>
    <w:rsid w:val="00077179"/>
    <w:rsid w:val="00081BF7"/>
    <w:rsid w:val="00081BFC"/>
    <w:rsid w:val="000820EF"/>
    <w:rsid w:val="0008323E"/>
    <w:rsid w:val="0008406E"/>
    <w:rsid w:val="000849B3"/>
    <w:rsid w:val="00084F7F"/>
    <w:rsid w:val="00085036"/>
    <w:rsid w:val="00085301"/>
    <w:rsid w:val="00085BC3"/>
    <w:rsid w:val="00086F65"/>
    <w:rsid w:val="0009022D"/>
    <w:rsid w:val="00093387"/>
    <w:rsid w:val="00096EB0"/>
    <w:rsid w:val="00097B64"/>
    <w:rsid w:val="000A02AF"/>
    <w:rsid w:val="000A284C"/>
    <w:rsid w:val="000A4E1E"/>
    <w:rsid w:val="000A65CC"/>
    <w:rsid w:val="000A6B41"/>
    <w:rsid w:val="000A7342"/>
    <w:rsid w:val="000B1270"/>
    <w:rsid w:val="000B280D"/>
    <w:rsid w:val="000B2A6B"/>
    <w:rsid w:val="000B4147"/>
    <w:rsid w:val="000B4212"/>
    <w:rsid w:val="000B4B88"/>
    <w:rsid w:val="000B4C39"/>
    <w:rsid w:val="000B6BDD"/>
    <w:rsid w:val="000B762D"/>
    <w:rsid w:val="000C4A80"/>
    <w:rsid w:val="000C6C06"/>
    <w:rsid w:val="000C7693"/>
    <w:rsid w:val="000D16F5"/>
    <w:rsid w:val="000D18BB"/>
    <w:rsid w:val="000D2581"/>
    <w:rsid w:val="000D2EC5"/>
    <w:rsid w:val="000D4D8F"/>
    <w:rsid w:val="000D675F"/>
    <w:rsid w:val="000D7DFA"/>
    <w:rsid w:val="000E2055"/>
    <w:rsid w:val="000E2D34"/>
    <w:rsid w:val="000E2E6E"/>
    <w:rsid w:val="000E36EB"/>
    <w:rsid w:val="000E4BE3"/>
    <w:rsid w:val="000E4E65"/>
    <w:rsid w:val="000E6DEB"/>
    <w:rsid w:val="000F1B3E"/>
    <w:rsid w:val="000F3FA9"/>
    <w:rsid w:val="000F66CC"/>
    <w:rsid w:val="000F71D7"/>
    <w:rsid w:val="0010133E"/>
    <w:rsid w:val="00101868"/>
    <w:rsid w:val="00101EAD"/>
    <w:rsid w:val="00103640"/>
    <w:rsid w:val="001036EF"/>
    <w:rsid w:val="001053D2"/>
    <w:rsid w:val="00105D36"/>
    <w:rsid w:val="00107182"/>
    <w:rsid w:val="001075E0"/>
    <w:rsid w:val="00112277"/>
    <w:rsid w:val="00113F0F"/>
    <w:rsid w:val="0011438F"/>
    <w:rsid w:val="0011464B"/>
    <w:rsid w:val="00116C82"/>
    <w:rsid w:val="00117CF3"/>
    <w:rsid w:val="00120FE1"/>
    <w:rsid w:val="00124280"/>
    <w:rsid w:val="00124D17"/>
    <w:rsid w:val="00127229"/>
    <w:rsid w:val="0012768B"/>
    <w:rsid w:val="00127A9C"/>
    <w:rsid w:val="0013154A"/>
    <w:rsid w:val="001316BE"/>
    <w:rsid w:val="00133D3D"/>
    <w:rsid w:val="0013422B"/>
    <w:rsid w:val="00136215"/>
    <w:rsid w:val="001379DD"/>
    <w:rsid w:val="00140E87"/>
    <w:rsid w:val="00145D60"/>
    <w:rsid w:val="001462B7"/>
    <w:rsid w:val="001466AC"/>
    <w:rsid w:val="0014730A"/>
    <w:rsid w:val="0015066B"/>
    <w:rsid w:val="00150CB8"/>
    <w:rsid w:val="00151B9C"/>
    <w:rsid w:val="0015227E"/>
    <w:rsid w:val="0015669B"/>
    <w:rsid w:val="00160045"/>
    <w:rsid w:val="00160325"/>
    <w:rsid w:val="001608A6"/>
    <w:rsid w:val="0016156C"/>
    <w:rsid w:val="00163EB0"/>
    <w:rsid w:val="00164149"/>
    <w:rsid w:val="00164911"/>
    <w:rsid w:val="00165243"/>
    <w:rsid w:val="001652CB"/>
    <w:rsid w:val="00165C7E"/>
    <w:rsid w:val="00166139"/>
    <w:rsid w:val="001702E7"/>
    <w:rsid w:val="0017120A"/>
    <w:rsid w:val="00172896"/>
    <w:rsid w:val="00172E1C"/>
    <w:rsid w:val="0017522E"/>
    <w:rsid w:val="00175FE5"/>
    <w:rsid w:val="00176EEE"/>
    <w:rsid w:val="00181678"/>
    <w:rsid w:val="00182280"/>
    <w:rsid w:val="001834E9"/>
    <w:rsid w:val="00185F94"/>
    <w:rsid w:val="00186A45"/>
    <w:rsid w:val="001875E8"/>
    <w:rsid w:val="00192DA0"/>
    <w:rsid w:val="00193145"/>
    <w:rsid w:val="00193451"/>
    <w:rsid w:val="001947FA"/>
    <w:rsid w:val="001969F0"/>
    <w:rsid w:val="00196E2E"/>
    <w:rsid w:val="001A00C4"/>
    <w:rsid w:val="001A0690"/>
    <w:rsid w:val="001A1D67"/>
    <w:rsid w:val="001A2EDE"/>
    <w:rsid w:val="001A3879"/>
    <w:rsid w:val="001A4EFC"/>
    <w:rsid w:val="001A6E31"/>
    <w:rsid w:val="001A707C"/>
    <w:rsid w:val="001B129F"/>
    <w:rsid w:val="001B2FDB"/>
    <w:rsid w:val="001B4410"/>
    <w:rsid w:val="001B4BC2"/>
    <w:rsid w:val="001B67FF"/>
    <w:rsid w:val="001C198C"/>
    <w:rsid w:val="001C1F91"/>
    <w:rsid w:val="001C3BAA"/>
    <w:rsid w:val="001C5550"/>
    <w:rsid w:val="001D253A"/>
    <w:rsid w:val="001D3372"/>
    <w:rsid w:val="001D4579"/>
    <w:rsid w:val="001D619B"/>
    <w:rsid w:val="001D77F9"/>
    <w:rsid w:val="001E0550"/>
    <w:rsid w:val="001E0B44"/>
    <w:rsid w:val="001E0EBC"/>
    <w:rsid w:val="001E14A7"/>
    <w:rsid w:val="001E2454"/>
    <w:rsid w:val="001E279C"/>
    <w:rsid w:val="001E5C1D"/>
    <w:rsid w:val="001E7257"/>
    <w:rsid w:val="001E73F9"/>
    <w:rsid w:val="001F06C6"/>
    <w:rsid w:val="001F3F3B"/>
    <w:rsid w:val="001F496A"/>
    <w:rsid w:val="001F4B25"/>
    <w:rsid w:val="001F51D4"/>
    <w:rsid w:val="001F5F68"/>
    <w:rsid w:val="0020079B"/>
    <w:rsid w:val="002029B4"/>
    <w:rsid w:val="00202F60"/>
    <w:rsid w:val="0020371C"/>
    <w:rsid w:val="00204FD7"/>
    <w:rsid w:val="0020506C"/>
    <w:rsid w:val="0020521B"/>
    <w:rsid w:val="00207D19"/>
    <w:rsid w:val="002132FD"/>
    <w:rsid w:val="002139E6"/>
    <w:rsid w:val="00214C88"/>
    <w:rsid w:val="00214D7E"/>
    <w:rsid w:val="00215220"/>
    <w:rsid w:val="00216635"/>
    <w:rsid w:val="002171B1"/>
    <w:rsid w:val="002174D0"/>
    <w:rsid w:val="00217BCC"/>
    <w:rsid w:val="002204F0"/>
    <w:rsid w:val="002209A9"/>
    <w:rsid w:val="00221C5F"/>
    <w:rsid w:val="00222E34"/>
    <w:rsid w:val="00223B6E"/>
    <w:rsid w:val="002247F7"/>
    <w:rsid w:val="00224815"/>
    <w:rsid w:val="00224819"/>
    <w:rsid w:val="00224A44"/>
    <w:rsid w:val="00225A53"/>
    <w:rsid w:val="00226668"/>
    <w:rsid w:val="002266DE"/>
    <w:rsid w:val="00226FCC"/>
    <w:rsid w:val="00230EEC"/>
    <w:rsid w:val="002325A0"/>
    <w:rsid w:val="0023410A"/>
    <w:rsid w:val="002362CB"/>
    <w:rsid w:val="00236D2F"/>
    <w:rsid w:val="0023786B"/>
    <w:rsid w:val="00240DF3"/>
    <w:rsid w:val="00243EEC"/>
    <w:rsid w:val="002441DA"/>
    <w:rsid w:val="00245D4B"/>
    <w:rsid w:val="002467B3"/>
    <w:rsid w:val="00246B6F"/>
    <w:rsid w:val="00250409"/>
    <w:rsid w:val="00250F2E"/>
    <w:rsid w:val="00250FE3"/>
    <w:rsid w:val="00251251"/>
    <w:rsid w:val="00251DE6"/>
    <w:rsid w:val="002534F1"/>
    <w:rsid w:val="00254A14"/>
    <w:rsid w:val="0025552B"/>
    <w:rsid w:val="00256730"/>
    <w:rsid w:val="00256E89"/>
    <w:rsid w:val="00263CBE"/>
    <w:rsid w:val="002643B6"/>
    <w:rsid w:val="002643F6"/>
    <w:rsid w:val="00267255"/>
    <w:rsid w:val="00270805"/>
    <w:rsid w:val="00271469"/>
    <w:rsid w:val="00275482"/>
    <w:rsid w:val="00276AAE"/>
    <w:rsid w:val="00281BE6"/>
    <w:rsid w:val="00284B6F"/>
    <w:rsid w:val="00285CD8"/>
    <w:rsid w:val="002863FE"/>
    <w:rsid w:val="00287FB0"/>
    <w:rsid w:val="002911F8"/>
    <w:rsid w:val="00291620"/>
    <w:rsid w:val="002919C5"/>
    <w:rsid w:val="00293930"/>
    <w:rsid w:val="0029486A"/>
    <w:rsid w:val="00296007"/>
    <w:rsid w:val="00296115"/>
    <w:rsid w:val="0029784B"/>
    <w:rsid w:val="002A18A9"/>
    <w:rsid w:val="002A18FF"/>
    <w:rsid w:val="002A1D32"/>
    <w:rsid w:val="002A3191"/>
    <w:rsid w:val="002A5785"/>
    <w:rsid w:val="002A5CC1"/>
    <w:rsid w:val="002B08A2"/>
    <w:rsid w:val="002B0BE2"/>
    <w:rsid w:val="002B1FB5"/>
    <w:rsid w:val="002B27AA"/>
    <w:rsid w:val="002B2E2C"/>
    <w:rsid w:val="002B350A"/>
    <w:rsid w:val="002B4263"/>
    <w:rsid w:val="002B4560"/>
    <w:rsid w:val="002B526F"/>
    <w:rsid w:val="002B5D0D"/>
    <w:rsid w:val="002B64D6"/>
    <w:rsid w:val="002B7E56"/>
    <w:rsid w:val="002C0A09"/>
    <w:rsid w:val="002C1252"/>
    <w:rsid w:val="002C1478"/>
    <w:rsid w:val="002C2F15"/>
    <w:rsid w:val="002C336F"/>
    <w:rsid w:val="002C360C"/>
    <w:rsid w:val="002C56CE"/>
    <w:rsid w:val="002C5B43"/>
    <w:rsid w:val="002C7057"/>
    <w:rsid w:val="002C7128"/>
    <w:rsid w:val="002D0B9F"/>
    <w:rsid w:val="002D33E5"/>
    <w:rsid w:val="002D3ED9"/>
    <w:rsid w:val="002D4147"/>
    <w:rsid w:val="002D50CE"/>
    <w:rsid w:val="002D6075"/>
    <w:rsid w:val="002D66FB"/>
    <w:rsid w:val="002D73C9"/>
    <w:rsid w:val="002D7575"/>
    <w:rsid w:val="002D7937"/>
    <w:rsid w:val="002E01BC"/>
    <w:rsid w:val="002E1168"/>
    <w:rsid w:val="002E2CC3"/>
    <w:rsid w:val="002E45AE"/>
    <w:rsid w:val="002E4613"/>
    <w:rsid w:val="002E4918"/>
    <w:rsid w:val="002E4F79"/>
    <w:rsid w:val="002E5F0E"/>
    <w:rsid w:val="002E73FE"/>
    <w:rsid w:val="002E7F9A"/>
    <w:rsid w:val="002F0AF3"/>
    <w:rsid w:val="002F715F"/>
    <w:rsid w:val="002F7247"/>
    <w:rsid w:val="002F7896"/>
    <w:rsid w:val="0030068C"/>
    <w:rsid w:val="003017C3"/>
    <w:rsid w:val="00301F30"/>
    <w:rsid w:val="00302BA8"/>
    <w:rsid w:val="003043F8"/>
    <w:rsid w:val="00304F2A"/>
    <w:rsid w:val="00305383"/>
    <w:rsid w:val="00306D9B"/>
    <w:rsid w:val="0031053B"/>
    <w:rsid w:val="003116BE"/>
    <w:rsid w:val="003124DA"/>
    <w:rsid w:val="00312E9E"/>
    <w:rsid w:val="00313037"/>
    <w:rsid w:val="0031412B"/>
    <w:rsid w:val="0031424E"/>
    <w:rsid w:val="003144B5"/>
    <w:rsid w:val="00315EBC"/>
    <w:rsid w:val="003164A8"/>
    <w:rsid w:val="00316DE8"/>
    <w:rsid w:val="003174A9"/>
    <w:rsid w:val="00320818"/>
    <w:rsid w:val="0032084D"/>
    <w:rsid w:val="00320B74"/>
    <w:rsid w:val="003210F6"/>
    <w:rsid w:val="00324A24"/>
    <w:rsid w:val="00325176"/>
    <w:rsid w:val="0032528E"/>
    <w:rsid w:val="00326DFD"/>
    <w:rsid w:val="00327355"/>
    <w:rsid w:val="00330E2E"/>
    <w:rsid w:val="00330F4F"/>
    <w:rsid w:val="00331187"/>
    <w:rsid w:val="0033295E"/>
    <w:rsid w:val="00335CDB"/>
    <w:rsid w:val="003362B5"/>
    <w:rsid w:val="00340205"/>
    <w:rsid w:val="0034046E"/>
    <w:rsid w:val="00341F9D"/>
    <w:rsid w:val="0034290B"/>
    <w:rsid w:val="00342E40"/>
    <w:rsid w:val="00343FEF"/>
    <w:rsid w:val="003441C7"/>
    <w:rsid w:val="00344826"/>
    <w:rsid w:val="003458A1"/>
    <w:rsid w:val="0035193D"/>
    <w:rsid w:val="00353FB8"/>
    <w:rsid w:val="00354A26"/>
    <w:rsid w:val="00356ACB"/>
    <w:rsid w:val="00356DD0"/>
    <w:rsid w:val="003574EA"/>
    <w:rsid w:val="00363685"/>
    <w:rsid w:val="00363CDE"/>
    <w:rsid w:val="00363EA5"/>
    <w:rsid w:val="00364C3B"/>
    <w:rsid w:val="00367AA3"/>
    <w:rsid w:val="003704B4"/>
    <w:rsid w:val="003718EB"/>
    <w:rsid w:val="00373430"/>
    <w:rsid w:val="003736EC"/>
    <w:rsid w:val="00374888"/>
    <w:rsid w:val="003802CD"/>
    <w:rsid w:val="00380366"/>
    <w:rsid w:val="00382807"/>
    <w:rsid w:val="0038304E"/>
    <w:rsid w:val="00383B80"/>
    <w:rsid w:val="003849FB"/>
    <w:rsid w:val="00384D88"/>
    <w:rsid w:val="003858A6"/>
    <w:rsid w:val="003870E8"/>
    <w:rsid w:val="00387407"/>
    <w:rsid w:val="00390838"/>
    <w:rsid w:val="003915CA"/>
    <w:rsid w:val="0039263E"/>
    <w:rsid w:val="00392702"/>
    <w:rsid w:val="00393B7B"/>
    <w:rsid w:val="003942D6"/>
    <w:rsid w:val="003958A7"/>
    <w:rsid w:val="003965FD"/>
    <w:rsid w:val="00397CB4"/>
    <w:rsid w:val="003A1870"/>
    <w:rsid w:val="003A27DF"/>
    <w:rsid w:val="003A530A"/>
    <w:rsid w:val="003A74A9"/>
    <w:rsid w:val="003B1A0A"/>
    <w:rsid w:val="003B1A9F"/>
    <w:rsid w:val="003B2CE5"/>
    <w:rsid w:val="003B441C"/>
    <w:rsid w:val="003B498E"/>
    <w:rsid w:val="003B49C1"/>
    <w:rsid w:val="003B4CE6"/>
    <w:rsid w:val="003B7310"/>
    <w:rsid w:val="003C0C45"/>
    <w:rsid w:val="003C0F05"/>
    <w:rsid w:val="003C3EB8"/>
    <w:rsid w:val="003C4902"/>
    <w:rsid w:val="003C6219"/>
    <w:rsid w:val="003C6BB2"/>
    <w:rsid w:val="003C7406"/>
    <w:rsid w:val="003C7A7B"/>
    <w:rsid w:val="003D1665"/>
    <w:rsid w:val="003D1DEB"/>
    <w:rsid w:val="003D2F49"/>
    <w:rsid w:val="003D2FEA"/>
    <w:rsid w:val="003D4611"/>
    <w:rsid w:val="003D472C"/>
    <w:rsid w:val="003D62C0"/>
    <w:rsid w:val="003D6A9C"/>
    <w:rsid w:val="003D72DE"/>
    <w:rsid w:val="003E04A0"/>
    <w:rsid w:val="003E04C2"/>
    <w:rsid w:val="003E21B3"/>
    <w:rsid w:val="003E2513"/>
    <w:rsid w:val="003E26A8"/>
    <w:rsid w:val="003E50E0"/>
    <w:rsid w:val="003E7FD8"/>
    <w:rsid w:val="003F055B"/>
    <w:rsid w:val="003F2308"/>
    <w:rsid w:val="003F459C"/>
    <w:rsid w:val="003F4B3E"/>
    <w:rsid w:val="003F5921"/>
    <w:rsid w:val="003F6848"/>
    <w:rsid w:val="003F7CBE"/>
    <w:rsid w:val="0040060B"/>
    <w:rsid w:val="00401A12"/>
    <w:rsid w:val="00401AC5"/>
    <w:rsid w:val="004044E3"/>
    <w:rsid w:val="004050A4"/>
    <w:rsid w:val="0040586B"/>
    <w:rsid w:val="0040604D"/>
    <w:rsid w:val="00406DA9"/>
    <w:rsid w:val="0040786E"/>
    <w:rsid w:val="00407990"/>
    <w:rsid w:val="00411515"/>
    <w:rsid w:val="00411E1B"/>
    <w:rsid w:val="0041563E"/>
    <w:rsid w:val="0041627D"/>
    <w:rsid w:val="00416520"/>
    <w:rsid w:val="00416589"/>
    <w:rsid w:val="00417CBB"/>
    <w:rsid w:val="00425563"/>
    <w:rsid w:val="00425BC7"/>
    <w:rsid w:val="00426195"/>
    <w:rsid w:val="00426343"/>
    <w:rsid w:val="00426712"/>
    <w:rsid w:val="00427CD7"/>
    <w:rsid w:val="004308D5"/>
    <w:rsid w:val="00430BDB"/>
    <w:rsid w:val="00430EB2"/>
    <w:rsid w:val="00431D27"/>
    <w:rsid w:val="00435386"/>
    <w:rsid w:val="00441398"/>
    <w:rsid w:val="00441A3E"/>
    <w:rsid w:val="00441DDD"/>
    <w:rsid w:val="0044352D"/>
    <w:rsid w:val="004440D2"/>
    <w:rsid w:val="0044465D"/>
    <w:rsid w:val="00446361"/>
    <w:rsid w:val="00447CE9"/>
    <w:rsid w:val="0045233E"/>
    <w:rsid w:val="0045292F"/>
    <w:rsid w:val="00453C47"/>
    <w:rsid w:val="0045649E"/>
    <w:rsid w:val="00456FF2"/>
    <w:rsid w:val="00457826"/>
    <w:rsid w:val="004600A9"/>
    <w:rsid w:val="00463E3F"/>
    <w:rsid w:val="004643A3"/>
    <w:rsid w:val="00465433"/>
    <w:rsid w:val="004654F5"/>
    <w:rsid w:val="00465D41"/>
    <w:rsid w:val="00466DA4"/>
    <w:rsid w:val="00466DC1"/>
    <w:rsid w:val="00467E84"/>
    <w:rsid w:val="00470447"/>
    <w:rsid w:val="004706C4"/>
    <w:rsid w:val="00471819"/>
    <w:rsid w:val="004719B8"/>
    <w:rsid w:val="00471CF0"/>
    <w:rsid w:val="00471F35"/>
    <w:rsid w:val="00472D54"/>
    <w:rsid w:val="004735F7"/>
    <w:rsid w:val="004739F3"/>
    <w:rsid w:val="00473BFD"/>
    <w:rsid w:val="0047796D"/>
    <w:rsid w:val="004802A5"/>
    <w:rsid w:val="00480810"/>
    <w:rsid w:val="0048081F"/>
    <w:rsid w:val="00480D1F"/>
    <w:rsid w:val="00480DA8"/>
    <w:rsid w:val="00482A07"/>
    <w:rsid w:val="004860CB"/>
    <w:rsid w:val="004912D4"/>
    <w:rsid w:val="00491BC2"/>
    <w:rsid w:val="00497D00"/>
    <w:rsid w:val="004A0B81"/>
    <w:rsid w:val="004A2A62"/>
    <w:rsid w:val="004A414D"/>
    <w:rsid w:val="004A41EE"/>
    <w:rsid w:val="004A458C"/>
    <w:rsid w:val="004B6C3D"/>
    <w:rsid w:val="004B76F3"/>
    <w:rsid w:val="004C0F72"/>
    <w:rsid w:val="004C12A0"/>
    <w:rsid w:val="004C1862"/>
    <w:rsid w:val="004C2488"/>
    <w:rsid w:val="004C5156"/>
    <w:rsid w:val="004C677F"/>
    <w:rsid w:val="004C6D73"/>
    <w:rsid w:val="004D35EC"/>
    <w:rsid w:val="004D3EC3"/>
    <w:rsid w:val="004D5F2D"/>
    <w:rsid w:val="004D66BD"/>
    <w:rsid w:val="004E0B27"/>
    <w:rsid w:val="004E112B"/>
    <w:rsid w:val="004E675A"/>
    <w:rsid w:val="004F0FFC"/>
    <w:rsid w:val="004F15E8"/>
    <w:rsid w:val="004F252B"/>
    <w:rsid w:val="004F3631"/>
    <w:rsid w:val="004F694C"/>
    <w:rsid w:val="004F74AD"/>
    <w:rsid w:val="0050105F"/>
    <w:rsid w:val="00501989"/>
    <w:rsid w:val="005022DF"/>
    <w:rsid w:val="00502AA5"/>
    <w:rsid w:val="00503025"/>
    <w:rsid w:val="0050395C"/>
    <w:rsid w:val="00505647"/>
    <w:rsid w:val="00506741"/>
    <w:rsid w:val="00506BD6"/>
    <w:rsid w:val="00506D72"/>
    <w:rsid w:val="00507A30"/>
    <w:rsid w:val="005100AC"/>
    <w:rsid w:val="00510D14"/>
    <w:rsid w:val="00512188"/>
    <w:rsid w:val="005134A9"/>
    <w:rsid w:val="00513D53"/>
    <w:rsid w:val="005147D9"/>
    <w:rsid w:val="00515DAA"/>
    <w:rsid w:val="00515F6C"/>
    <w:rsid w:val="00516212"/>
    <w:rsid w:val="0051789C"/>
    <w:rsid w:val="00517997"/>
    <w:rsid w:val="00520317"/>
    <w:rsid w:val="00520A5A"/>
    <w:rsid w:val="005218E7"/>
    <w:rsid w:val="00524D27"/>
    <w:rsid w:val="005254E1"/>
    <w:rsid w:val="00527002"/>
    <w:rsid w:val="005301B7"/>
    <w:rsid w:val="0053072C"/>
    <w:rsid w:val="005316F8"/>
    <w:rsid w:val="00533BE0"/>
    <w:rsid w:val="00533EA8"/>
    <w:rsid w:val="005344CC"/>
    <w:rsid w:val="005363F2"/>
    <w:rsid w:val="0053645A"/>
    <w:rsid w:val="00536918"/>
    <w:rsid w:val="0054314B"/>
    <w:rsid w:val="00543EBF"/>
    <w:rsid w:val="00544043"/>
    <w:rsid w:val="00546A08"/>
    <w:rsid w:val="00547314"/>
    <w:rsid w:val="005502AF"/>
    <w:rsid w:val="00551789"/>
    <w:rsid w:val="00553AE4"/>
    <w:rsid w:val="00554BCF"/>
    <w:rsid w:val="005556DE"/>
    <w:rsid w:val="005557B4"/>
    <w:rsid w:val="00555A5B"/>
    <w:rsid w:val="005621F1"/>
    <w:rsid w:val="00562752"/>
    <w:rsid w:val="00562895"/>
    <w:rsid w:val="005641C7"/>
    <w:rsid w:val="00564D4A"/>
    <w:rsid w:val="005650A2"/>
    <w:rsid w:val="005657D7"/>
    <w:rsid w:val="00573DA1"/>
    <w:rsid w:val="0057554D"/>
    <w:rsid w:val="00575D03"/>
    <w:rsid w:val="0057669A"/>
    <w:rsid w:val="0057669B"/>
    <w:rsid w:val="00577597"/>
    <w:rsid w:val="0058000D"/>
    <w:rsid w:val="00580F4B"/>
    <w:rsid w:val="00581265"/>
    <w:rsid w:val="0058221B"/>
    <w:rsid w:val="00583C64"/>
    <w:rsid w:val="00584C54"/>
    <w:rsid w:val="005851FB"/>
    <w:rsid w:val="005854A1"/>
    <w:rsid w:val="00585CC9"/>
    <w:rsid w:val="005868EF"/>
    <w:rsid w:val="00590804"/>
    <w:rsid w:val="00590957"/>
    <w:rsid w:val="00593499"/>
    <w:rsid w:val="005938F5"/>
    <w:rsid w:val="005939B6"/>
    <w:rsid w:val="005946DF"/>
    <w:rsid w:val="005A18FC"/>
    <w:rsid w:val="005A2457"/>
    <w:rsid w:val="005A2CAE"/>
    <w:rsid w:val="005A2F94"/>
    <w:rsid w:val="005A408E"/>
    <w:rsid w:val="005A40A7"/>
    <w:rsid w:val="005A4635"/>
    <w:rsid w:val="005A4C79"/>
    <w:rsid w:val="005A65B1"/>
    <w:rsid w:val="005B181D"/>
    <w:rsid w:val="005B710A"/>
    <w:rsid w:val="005B74B6"/>
    <w:rsid w:val="005C0145"/>
    <w:rsid w:val="005C0244"/>
    <w:rsid w:val="005C2CF7"/>
    <w:rsid w:val="005C3687"/>
    <w:rsid w:val="005C4C8A"/>
    <w:rsid w:val="005C5E44"/>
    <w:rsid w:val="005C73AE"/>
    <w:rsid w:val="005C746E"/>
    <w:rsid w:val="005C7E8A"/>
    <w:rsid w:val="005D309A"/>
    <w:rsid w:val="005D3F02"/>
    <w:rsid w:val="005D4237"/>
    <w:rsid w:val="005D4FA0"/>
    <w:rsid w:val="005D713B"/>
    <w:rsid w:val="005E0E7B"/>
    <w:rsid w:val="005E2172"/>
    <w:rsid w:val="005E35B7"/>
    <w:rsid w:val="005E49E1"/>
    <w:rsid w:val="005E4BE9"/>
    <w:rsid w:val="005E6BCB"/>
    <w:rsid w:val="005E7BAE"/>
    <w:rsid w:val="005F0271"/>
    <w:rsid w:val="005F1885"/>
    <w:rsid w:val="005F2E0F"/>
    <w:rsid w:val="005F2EE8"/>
    <w:rsid w:val="005F4C6E"/>
    <w:rsid w:val="005F5235"/>
    <w:rsid w:val="00600CB9"/>
    <w:rsid w:val="00600DD8"/>
    <w:rsid w:val="00602D76"/>
    <w:rsid w:val="00603134"/>
    <w:rsid w:val="006056CE"/>
    <w:rsid w:val="00605C54"/>
    <w:rsid w:val="006060AC"/>
    <w:rsid w:val="00606113"/>
    <w:rsid w:val="00606C84"/>
    <w:rsid w:val="00610001"/>
    <w:rsid w:val="0061020B"/>
    <w:rsid w:val="00610733"/>
    <w:rsid w:val="00611050"/>
    <w:rsid w:val="00613697"/>
    <w:rsid w:val="00614E00"/>
    <w:rsid w:val="0061507C"/>
    <w:rsid w:val="006152C7"/>
    <w:rsid w:val="00615ADC"/>
    <w:rsid w:val="00616AE3"/>
    <w:rsid w:val="00617CD7"/>
    <w:rsid w:val="0062119F"/>
    <w:rsid w:val="0062122E"/>
    <w:rsid w:val="00621692"/>
    <w:rsid w:val="00621F32"/>
    <w:rsid w:val="00622912"/>
    <w:rsid w:val="00622C8F"/>
    <w:rsid w:val="00623C65"/>
    <w:rsid w:val="006259EA"/>
    <w:rsid w:val="00626291"/>
    <w:rsid w:val="00626A96"/>
    <w:rsid w:val="00630388"/>
    <w:rsid w:val="0063092A"/>
    <w:rsid w:val="00630AC1"/>
    <w:rsid w:val="00630BDD"/>
    <w:rsid w:val="00631698"/>
    <w:rsid w:val="006317EA"/>
    <w:rsid w:val="00631B3E"/>
    <w:rsid w:val="0063348B"/>
    <w:rsid w:val="006346D4"/>
    <w:rsid w:val="006351A9"/>
    <w:rsid w:val="00636CFB"/>
    <w:rsid w:val="00640028"/>
    <w:rsid w:val="00641A44"/>
    <w:rsid w:val="00642844"/>
    <w:rsid w:val="00642ADB"/>
    <w:rsid w:val="006438F0"/>
    <w:rsid w:val="006442DD"/>
    <w:rsid w:val="00647965"/>
    <w:rsid w:val="00647D29"/>
    <w:rsid w:val="0065097C"/>
    <w:rsid w:val="00650FF1"/>
    <w:rsid w:val="006513A2"/>
    <w:rsid w:val="00652537"/>
    <w:rsid w:val="00652B7D"/>
    <w:rsid w:val="006542BD"/>
    <w:rsid w:val="0065671F"/>
    <w:rsid w:val="00657BD0"/>
    <w:rsid w:val="00657DED"/>
    <w:rsid w:val="00661697"/>
    <w:rsid w:val="00661CDD"/>
    <w:rsid w:val="00664E93"/>
    <w:rsid w:val="00665179"/>
    <w:rsid w:val="00665EDD"/>
    <w:rsid w:val="00667F24"/>
    <w:rsid w:val="00670052"/>
    <w:rsid w:val="00670B1F"/>
    <w:rsid w:val="0067108C"/>
    <w:rsid w:val="00671609"/>
    <w:rsid w:val="00671663"/>
    <w:rsid w:val="00671918"/>
    <w:rsid w:val="00672548"/>
    <w:rsid w:val="00672982"/>
    <w:rsid w:val="00673230"/>
    <w:rsid w:val="006738C7"/>
    <w:rsid w:val="00673B93"/>
    <w:rsid w:val="00674B0B"/>
    <w:rsid w:val="00675916"/>
    <w:rsid w:val="00681417"/>
    <w:rsid w:val="0068166E"/>
    <w:rsid w:val="00682687"/>
    <w:rsid w:val="00683B7E"/>
    <w:rsid w:val="00684399"/>
    <w:rsid w:val="0068596F"/>
    <w:rsid w:val="00685D55"/>
    <w:rsid w:val="0068651C"/>
    <w:rsid w:val="0068682B"/>
    <w:rsid w:val="00691E94"/>
    <w:rsid w:val="006936CD"/>
    <w:rsid w:val="006945B8"/>
    <w:rsid w:val="006957F7"/>
    <w:rsid w:val="00697125"/>
    <w:rsid w:val="006A3DD9"/>
    <w:rsid w:val="006A48B4"/>
    <w:rsid w:val="006A5B58"/>
    <w:rsid w:val="006B050F"/>
    <w:rsid w:val="006B0B8A"/>
    <w:rsid w:val="006B14BD"/>
    <w:rsid w:val="006B1E56"/>
    <w:rsid w:val="006B3254"/>
    <w:rsid w:val="006B532F"/>
    <w:rsid w:val="006B5E1E"/>
    <w:rsid w:val="006B642F"/>
    <w:rsid w:val="006B7DE6"/>
    <w:rsid w:val="006C2506"/>
    <w:rsid w:val="006C27A7"/>
    <w:rsid w:val="006C2AF9"/>
    <w:rsid w:val="006C3D22"/>
    <w:rsid w:val="006C4B2C"/>
    <w:rsid w:val="006C63A9"/>
    <w:rsid w:val="006C641F"/>
    <w:rsid w:val="006C6FCA"/>
    <w:rsid w:val="006C767A"/>
    <w:rsid w:val="006D0C2A"/>
    <w:rsid w:val="006D1231"/>
    <w:rsid w:val="006D3B56"/>
    <w:rsid w:val="006D626D"/>
    <w:rsid w:val="006D6DF5"/>
    <w:rsid w:val="006D7995"/>
    <w:rsid w:val="006E08E6"/>
    <w:rsid w:val="006E1C2B"/>
    <w:rsid w:val="006E20F6"/>
    <w:rsid w:val="006E2134"/>
    <w:rsid w:val="006F15AC"/>
    <w:rsid w:val="006F1D0B"/>
    <w:rsid w:val="006F2F5B"/>
    <w:rsid w:val="006F37E3"/>
    <w:rsid w:val="006F3D9A"/>
    <w:rsid w:val="006F4E0B"/>
    <w:rsid w:val="006F50E0"/>
    <w:rsid w:val="006F6A1F"/>
    <w:rsid w:val="00700502"/>
    <w:rsid w:val="00701097"/>
    <w:rsid w:val="007030DD"/>
    <w:rsid w:val="0070380E"/>
    <w:rsid w:val="007048A7"/>
    <w:rsid w:val="007056F8"/>
    <w:rsid w:val="007075C6"/>
    <w:rsid w:val="0071296A"/>
    <w:rsid w:val="00712B86"/>
    <w:rsid w:val="007130A6"/>
    <w:rsid w:val="0071519F"/>
    <w:rsid w:val="00715273"/>
    <w:rsid w:val="007200BD"/>
    <w:rsid w:val="007219EB"/>
    <w:rsid w:val="007240CD"/>
    <w:rsid w:val="00725303"/>
    <w:rsid w:val="00725F1F"/>
    <w:rsid w:val="00726CC7"/>
    <w:rsid w:val="00727857"/>
    <w:rsid w:val="00730A31"/>
    <w:rsid w:val="00731A8A"/>
    <w:rsid w:val="00734826"/>
    <w:rsid w:val="00734B7F"/>
    <w:rsid w:val="007358DD"/>
    <w:rsid w:val="00735EA7"/>
    <w:rsid w:val="00735ED8"/>
    <w:rsid w:val="00736B0F"/>
    <w:rsid w:val="00736B3E"/>
    <w:rsid w:val="00740A6B"/>
    <w:rsid w:val="00743442"/>
    <w:rsid w:val="0074555D"/>
    <w:rsid w:val="0074562C"/>
    <w:rsid w:val="00745EA0"/>
    <w:rsid w:val="00746355"/>
    <w:rsid w:val="007472B2"/>
    <w:rsid w:val="00752C24"/>
    <w:rsid w:val="00755149"/>
    <w:rsid w:val="007579AF"/>
    <w:rsid w:val="00760E62"/>
    <w:rsid w:val="00761665"/>
    <w:rsid w:val="0076262C"/>
    <w:rsid w:val="0076346A"/>
    <w:rsid w:val="0076382F"/>
    <w:rsid w:val="007639AF"/>
    <w:rsid w:val="0076496F"/>
    <w:rsid w:val="00764F96"/>
    <w:rsid w:val="00765989"/>
    <w:rsid w:val="00766636"/>
    <w:rsid w:val="007677B2"/>
    <w:rsid w:val="00770878"/>
    <w:rsid w:val="007730CB"/>
    <w:rsid w:val="0077450D"/>
    <w:rsid w:val="007765F9"/>
    <w:rsid w:val="00776B65"/>
    <w:rsid w:val="007775B3"/>
    <w:rsid w:val="00777C01"/>
    <w:rsid w:val="00782663"/>
    <w:rsid w:val="00784AF2"/>
    <w:rsid w:val="00785942"/>
    <w:rsid w:val="00785982"/>
    <w:rsid w:val="00785C7C"/>
    <w:rsid w:val="00786DA9"/>
    <w:rsid w:val="007907C2"/>
    <w:rsid w:val="00790D64"/>
    <w:rsid w:val="00792579"/>
    <w:rsid w:val="00794820"/>
    <w:rsid w:val="007951C8"/>
    <w:rsid w:val="0079592C"/>
    <w:rsid w:val="00796461"/>
    <w:rsid w:val="00797C54"/>
    <w:rsid w:val="007A0DCD"/>
    <w:rsid w:val="007A0E0F"/>
    <w:rsid w:val="007A4A66"/>
    <w:rsid w:val="007A5A00"/>
    <w:rsid w:val="007A5C79"/>
    <w:rsid w:val="007A5FBF"/>
    <w:rsid w:val="007A6379"/>
    <w:rsid w:val="007A7BC2"/>
    <w:rsid w:val="007B019D"/>
    <w:rsid w:val="007B08DD"/>
    <w:rsid w:val="007B23AB"/>
    <w:rsid w:val="007B2942"/>
    <w:rsid w:val="007B4185"/>
    <w:rsid w:val="007B42B6"/>
    <w:rsid w:val="007B42F5"/>
    <w:rsid w:val="007B6544"/>
    <w:rsid w:val="007B69B2"/>
    <w:rsid w:val="007B7246"/>
    <w:rsid w:val="007B7356"/>
    <w:rsid w:val="007B7DE4"/>
    <w:rsid w:val="007C0E26"/>
    <w:rsid w:val="007C27A7"/>
    <w:rsid w:val="007C4B8D"/>
    <w:rsid w:val="007C5ED3"/>
    <w:rsid w:val="007C6139"/>
    <w:rsid w:val="007C61F2"/>
    <w:rsid w:val="007C672D"/>
    <w:rsid w:val="007C694B"/>
    <w:rsid w:val="007C7CE6"/>
    <w:rsid w:val="007D002A"/>
    <w:rsid w:val="007D112C"/>
    <w:rsid w:val="007D112F"/>
    <w:rsid w:val="007D11F2"/>
    <w:rsid w:val="007D3AB8"/>
    <w:rsid w:val="007D3BA6"/>
    <w:rsid w:val="007D4F32"/>
    <w:rsid w:val="007D59E5"/>
    <w:rsid w:val="007D75A8"/>
    <w:rsid w:val="007D7A39"/>
    <w:rsid w:val="007E0D2A"/>
    <w:rsid w:val="007E1D55"/>
    <w:rsid w:val="007E3458"/>
    <w:rsid w:val="007E5667"/>
    <w:rsid w:val="007F0D92"/>
    <w:rsid w:val="007F1403"/>
    <w:rsid w:val="007F1644"/>
    <w:rsid w:val="007F1ACF"/>
    <w:rsid w:val="007F26E1"/>
    <w:rsid w:val="007F2C41"/>
    <w:rsid w:val="007F3E88"/>
    <w:rsid w:val="007F5C18"/>
    <w:rsid w:val="007F5DEA"/>
    <w:rsid w:val="007F5FD6"/>
    <w:rsid w:val="007F68AC"/>
    <w:rsid w:val="008002E8"/>
    <w:rsid w:val="008005A4"/>
    <w:rsid w:val="0080278F"/>
    <w:rsid w:val="00802E44"/>
    <w:rsid w:val="0080320F"/>
    <w:rsid w:val="0080568F"/>
    <w:rsid w:val="00807ED6"/>
    <w:rsid w:val="00811633"/>
    <w:rsid w:val="00811639"/>
    <w:rsid w:val="00811E3B"/>
    <w:rsid w:val="00812D15"/>
    <w:rsid w:val="008147CF"/>
    <w:rsid w:val="00816802"/>
    <w:rsid w:val="00817344"/>
    <w:rsid w:val="00820741"/>
    <w:rsid w:val="00822380"/>
    <w:rsid w:val="00822820"/>
    <w:rsid w:val="00823A93"/>
    <w:rsid w:val="0082473F"/>
    <w:rsid w:val="00825A66"/>
    <w:rsid w:val="00825CB7"/>
    <w:rsid w:val="00827063"/>
    <w:rsid w:val="008302BF"/>
    <w:rsid w:val="00834670"/>
    <w:rsid w:val="00836371"/>
    <w:rsid w:val="0084164C"/>
    <w:rsid w:val="008433FD"/>
    <w:rsid w:val="00845F64"/>
    <w:rsid w:val="008464A2"/>
    <w:rsid w:val="008471C7"/>
    <w:rsid w:val="008508EF"/>
    <w:rsid w:val="00850B44"/>
    <w:rsid w:val="008520D4"/>
    <w:rsid w:val="008542DF"/>
    <w:rsid w:val="0085741E"/>
    <w:rsid w:val="00857806"/>
    <w:rsid w:val="008617E0"/>
    <w:rsid w:val="008622B5"/>
    <w:rsid w:val="00862F80"/>
    <w:rsid w:val="00863B8B"/>
    <w:rsid w:val="008645B8"/>
    <w:rsid w:val="008645D2"/>
    <w:rsid w:val="0086490E"/>
    <w:rsid w:val="008649EE"/>
    <w:rsid w:val="0086663F"/>
    <w:rsid w:val="00870E5B"/>
    <w:rsid w:val="008737F1"/>
    <w:rsid w:val="00874291"/>
    <w:rsid w:val="0087433F"/>
    <w:rsid w:val="0087491A"/>
    <w:rsid w:val="0087536B"/>
    <w:rsid w:val="00876FBD"/>
    <w:rsid w:val="00881AD7"/>
    <w:rsid w:val="00885AD1"/>
    <w:rsid w:val="008923E6"/>
    <w:rsid w:val="008925E4"/>
    <w:rsid w:val="0089307A"/>
    <w:rsid w:val="00893F55"/>
    <w:rsid w:val="008951DE"/>
    <w:rsid w:val="00896172"/>
    <w:rsid w:val="008969F0"/>
    <w:rsid w:val="008A125B"/>
    <w:rsid w:val="008A16D1"/>
    <w:rsid w:val="008A4D8B"/>
    <w:rsid w:val="008A5355"/>
    <w:rsid w:val="008A7D31"/>
    <w:rsid w:val="008A7D41"/>
    <w:rsid w:val="008B0D9A"/>
    <w:rsid w:val="008B21BD"/>
    <w:rsid w:val="008B34F8"/>
    <w:rsid w:val="008B3C69"/>
    <w:rsid w:val="008B4D42"/>
    <w:rsid w:val="008B4DA8"/>
    <w:rsid w:val="008B7522"/>
    <w:rsid w:val="008C00E0"/>
    <w:rsid w:val="008C05F5"/>
    <w:rsid w:val="008C0952"/>
    <w:rsid w:val="008C0C87"/>
    <w:rsid w:val="008C1B98"/>
    <w:rsid w:val="008C20B5"/>
    <w:rsid w:val="008C291F"/>
    <w:rsid w:val="008C39E3"/>
    <w:rsid w:val="008C3BEB"/>
    <w:rsid w:val="008C5E3E"/>
    <w:rsid w:val="008C683E"/>
    <w:rsid w:val="008C7638"/>
    <w:rsid w:val="008C7F80"/>
    <w:rsid w:val="008D288F"/>
    <w:rsid w:val="008D2C4B"/>
    <w:rsid w:val="008D2E3B"/>
    <w:rsid w:val="008D4A11"/>
    <w:rsid w:val="008D6BF4"/>
    <w:rsid w:val="008E0AA7"/>
    <w:rsid w:val="008E2653"/>
    <w:rsid w:val="008E2806"/>
    <w:rsid w:val="008E4818"/>
    <w:rsid w:val="008E5AB7"/>
    <w:rsid w:val="008E65F1"/>
    <w:rsid w:val="008E7440"/>
    <w:rsid w:val="008E7A0A"/>
    <w:rsid w:val="008F0AEC"/>
    <w:rsid w:val="008F0BF7"/>
    <w:rsid w:val="008F1654"/>
    <w:rsid w:val="008F49D2"/>
    <w:rsid w:val="008F7578"/>
    <w:rsid w:val="00901E94"/>
    <w:rsid w:val="00902371"/>
    <w:rsid w:val="00902A4B"/>
    <w:rsid w:val="00902EFC"/>
    <w:rsid w:val="009042B1"/>
    <w:rsid w:val="009043B5"/>
    <w:rsid w:val="009044BA"/>
    <w:rsid w:val="00904A1F"/>
    <w:rsid w:val="00905379"/>
    <w:rsid w:val="00905ED6"/>
    <w:rsid w:val="009065D5"/>
    <w:rsid w:val="00906B12"/>
    <w:rsid w:val="009106CF"/>
    <w:rsid w:val="0091126A"/>
    <w:rsid w:val="00911733"/>
    <w:rsid w:val="009119BB"/>
    <w:rsid w:val="0091340A"/>
    <w:rsid w:val="00914B31"/>
    <w:rsid w:val="0091648B"/>
    <w:rsid w:val="00917286"/>
    <w:rsid w:val="009179E5"/>
    <w:rsid w:val="00917BF1"/>
    <w:rsid w:val="00921A18"/>
    <w:rsid w:val="00921E54"/>
    <w:rsid w:val="009245BB"/>
    <w:rsid w:val="00925492"/>
    <w:rsid w:val="00931625"/>
    <w:rsid w:val="00931AB5"/>
    <w:rsid w:val="009326D4"/>
    <w:rsid w:val="00934863"/>
    <w:rsid w:val="00935B03"/>
    <w:rsid w:val="0094107E"/>
    <w:rsid w:val="009438BE"/>
    <w:rsid w:val="009466E8"/>
    <w:rsid w:val="00946DBD"/>
    <w:rsid w:val="009527AA"/>
    <w:rsid w:val="0095367A"/>
    <w:rsid w:val="0095465E"/>
    <w:rsid w:val="00955E02"/>
    <w:rsid w:val="00956AB0"/>
    <w:rsid w:val="00957613"/>
    <w:rsid w:val="0096030C"/>
    <w:rsid w:val="00962A7C"/>
    <w:rsid w:val="009638AF"/>
    <w:rsid w:val="00963B38"/>
    <w:rsid w:val="00963C3F"/>
    <w:rsid w:val="00964EEE"/>
    <w:rsid w:val="00971508"/>
    <w:rsid w:val="0097220D"/>
    <w:rsid w:val="009735D0"/>
    <w:rsid w:val="00973F18"/>
    <w:rsid w:val="00974435"/>
    <w:rsid w:val="00974C01"/>
    <w:rsid w:val="00977799"/>
    <w:rsid w:val="009800AC"/>
    <w:rsid w:val="009800BE"/>
    <w:rsid w:val="00980808"/>
    <w:rsid w:val="0098149B"/>
    <w:rsid w:val="00981C99"/>
    <w:rsid w:val="00982731"/>
    <w:rsid w:val="00984A97"/>
    <w:rsid w:val="0098772D"/>
    <w:rsid w:val="009900C2"/>
    <w:rsid w:val="00990441"/>
    <w:rsid w:val="00992AA6"/>
    <w:rsid w:val="00992E28"/>
    <w:rsid w:val="00995846"/>
    <w:rsid w:val="00996164"/>
    <w:rsid w:val="009A023C"/>
    <w:rsid w:val="009A16CE"/>
    <w:rsid w:val="009A3A68"/>
    <w:rsid w:val="009A4103"/>
    <w:rsid w:val="009A552C"/>
    <w:rsid w:val="009A5F3B"/>
    <w:rsid w:val="009A6CDF"/>
    <w:rsid w:val="009B0880"/>
    <w:rsid w:val="009B15A6"/>
    <w:rsid w:val="009B1890"/>
    <w:rsid w:val="009B1CDE"/>
    <w:rsid w:val="009B43EC"/>
    <w:rsid w:val="009B4587"/>
    <w:rsid w:val="009B58D6"/>
    <w:rsid w:val="009B5DF2"/>
    <w:rsid w:val="009C3DD2"/>
    <w:rsid w:val="009C4B67"/>
    <w:rsid w:val="009C4FA2"/>
    <w:rsid w:val="009C5B5A"/>
    <w:rsid w:val="009C5DCD"/>
    <w:rsid w:val="009C7DA4"/>
    <w:rsid w:val="009D0D20"/>
    <w:rsid w:val="009D3E33"/>
    <w:rsid w:val="009D4010"/>
    <w:rsid w:val="009D5194"/>
    <w:rsid w:val="009D54A6"/>
    <w:rsid w:val="009D7122"/>
    <w:rsid w:val="009D71EC"/>
    <w:rsid w:val="009E079B"/>
    <w:rsid w:val="009E0AFF"/>
    <w:rsid w:val="009E0D3A"/>
    <w:rsid w:val="009E1EA2"/>
    <w:rsid w:val="009E4386"/>
    <w:rsid w:val="009E4887"/>
    <w:rsid w:val="009E4E3C"/>
    <w:rsid w:val="009E6714"/>
    <w:rsid w:val="009E691D"/>
    <w:rsid w:val="009E7AD1"/>
    <w:rsid w:val="009E7B76"/>
    <w:rsid w:val="009F0850"/>
    <w:rsid w:val="009F0ED5"/>
    <w:rsid w:val="009F1251"/>
    <w:rsid w:val="009F1A01"/>
    <w:rsid w:val="009F2661"/>
    <w:rsid w:val="009F4E66"/>
    <w:rsid w:val="009F643A"/>
    <w:rsid w:val="009F6BA8"/>
    <w:rsid w:val="00A00D2A"/>
    <w:rsid w:val="00A013B3"/>
    <w:rsid w:val="00A01ACB"/>
    <w:rsid w:val="00A02B11"/>
    <w:rsid w:val="00A03087"/>
    <w:rsid w:val="00A0396B"/>
    <w:rsid w:val="00A03AA9"/>
    <w:rsid w:val="00A04A91"/>
    <w:rsid w:val="00A051F1"/>
    <w:rsid w:val="00A0729D"/>
    <w:rsid w:val="00A14ACE"/>
    <w:rsid w:val="00A16DC7"/>
    <w:rsid w:val="00A178D0"/>
    <w:rsid w:val="00A260BA"/>
    <w:rsid w:val="00A27052"/>
    <w:rsid w:val="00A319AE"/>
    <w:rsid w:val="00A33D0A"/>
    <w:rsid w:val="00A351F8"/>
    <w:rsid w:val="00A35799"/>
    <w:rsid w:val="00A35FA8"/>
    <w:rsid w:val="00A374A1"/>
    <w:rsid w:val="00A4009B"/>
    <w:rsid w:val="00A40D66"/>
    <w:rsid w:val="00A41574"/>
    <w:rsid w:val="00A41E72"/>
    <w:rsid w:val="00A422D0"/>
    <w:rsid w:val="00A42448"/>
    <w:rsid w:val="00A442E5"/>
    <w:rsid w:val="00A47B5D"/>
    <w:rsid w:val="00A50CAE"/>
    <w:rsid w:val="00A51666"/>
    <w:rsid w:val="00A54BE0"/>
    <w:rsid w:val="00A56D20"/>
    <w:rsid w:val="00A57CBD"/>
    <w:rsid w:val="00A62110"/>
    <w:rsid w:val="00A6275B"/>
    <w:rsid w:val="00A63B76"/>
    <w:rsid w:val="00A642AE"/>
    <w:rsid w:val="00A65CDD"/>
    <w:rsid w:val="00A66EF0"/>
    <w:rsid w:val="00A71A70"/>
    <w:rsid w:val="00A76560"/>
    <w:rsid w:val="00A82118"/>
    <w:rsid w:val="00A83E7A"/>
    <w:rsid w:val="00A86C65"/>
    <w:rsid w:val="00A87DA3"/>
    <w:rsid w:val="00A914A2"/>
    <w:rsid w:val="00A91C21"/>
    <w:rsid w:val="00A9269A"/>
    <w:rsid w:val="00A94DA0"/>
    <w:rsid w:val="00A97362"/>
    <w:rsid w:val="00AA34FB"/>
    <w:rsid w:val="00AA3CAB"/>
    <w:rsid w:val="00AA5BC6"/>
    <w:rsid w:val="00AA6675"/>
    <w:rsid w:val="00AA6AF6"/>
    <w:rsid w:val="00AB0B0A"/>
    <w:rsid w:val="00AB0B54"/>
    <w:rsid w:val="00AB7215"/>
    <w:rsid w:val="00AB7773"/>
    <w:rsid w:val="00AC1080"/>
    <w:rsid w:val="00AC13EA"/>
    <w:rsid w:val="00AC2083"/>
    <w:rsid w:val="00AC4020"/>
    <w:rsid w:val="00AC48A6"/>
    <w:rsid w:val="00AC5565"/>
    <w:rsid w:val="00AC6709"/>
    <w:rsid w:val="00AC729C"/>
    <w:rsid w:val="00AD06BB"/>
    <w:rsid w:val="00AD0BC4"/>
    <w:rsid w:val="00AD2664"/>
    <w:rsid w:val="00AD32C1"/>
    <w:rsid w:val="00AD558E"/>
    <w:rsid w:val="00AD6BD8"/>
    <w:rsid w:val="00AD726D"/>
    <w:rsid w:val="00AD72BC"/>
    <w:rsid w:val="00AD7631"/>
    <w:rsid w:val="00AD7BC5"/>
    <w:rsid w:val="00AD7D68"/>
    <w:rsid w:val="00AE3E31"/>
    <w:rsid w:val="00AE6454"/>
    <w:rsid w:val="00AE73B8"/>
    <w:rsid w:val="00AE7B41"/>
    <w:rsid w:val="00AE7B72"/>
    <w:rsid w:val="00AF0607"/>
    <w:rsid w:val="00AF0B36"/>
    <w:rsid w:val="00AF1CA0"/>
    <w:rsid w:val="00AF205E"/>
    <w:rsid w:val="00AF38DD"/>
    <w:rsid w:val="00AF519E"/>
    <w:rsid w:val="00AF56B9"/>
    <w:rsid w:val="00AF7756"/>
    <w:rsid w:val="00B056DB"/>
    <w:rsid w:val="00B058B3"/>
    <w:rsid w:val="00B065FC"/>
    <w:rsid w:val="00B06A32"/>
    <w:rsid w:val="00B10A04"/>
    <w:rsid w:val="00B11D52"/>
    <w:rsid w:val="00B13AA0"/>
    <w:rsid w:val="00B14482"/>
    <w:rsid w:val="00B148C4"/>
    <w:rsid w:val="00B15276"/>
    <w:rsid w:val="00B15B6C"/>
    <w:rsid w:val="00B1715C"/>
    <w:rsid w:val="00B200F6"/>
    <w:rsid w:val="00B2206E"/>
    <w:rsid w:val="00B2264C"/>
    <w:rsid w:val="00B25DD8"/>
    <w:rsid w:val="00B267F4"/>
    <w:rsid w:val="00B30997"/>
    <w:rsid w:val="00B345BE"/>
    <w:rsid w:val="00B3613B"/>
    <w:rsid w:val="00B3698E"/>
    <w:rsid w:val="00B370CA"/>
    <w:rsid w:val="00B37330"/>
    <w:rsid w:val="00B41818"/>
    <w:rsid w:val="00B43BC9"/>
    <w:rsid w:val="00B441DB"/>
    <w:rsid w:val="00B444D1"/>
    <w:rsid w:val="00B45009"/>
    <w:rsid w:val="00B45693"/>
    <w:rsid w:val="00B45FD8"/>
    <w:rsid w:val="00B4641F"/>
    <w:rsid w:val="00B4700F"/>
    <w:rsid w:val="00B47474"/>
    <w:rsid w:val="00B47770"/>
    <w:rsid w:val="00B53023"/>
    <w:rsid w:val="00B54A89"/>
    <w:rsid w:val="00B6241C"/>
    <w:rsid w:val="00B632A1"/>
    <w:rsid w:val="00B64C75"/>
    <w:rsid w:val="00B64F2D"/>
    <w:rsid w:val="00B70100"/>
    <w:rsid w:val="00B71162"/>
    <w:rsid w:val="00B72915"/>
    <w:rsid w:val="00B73F28"/>
    <w:rsid w:val="00B7483A"/>
    <w:rsid w:val="00B74AE1"/>
    <w:rsid w:val="00B7586D"/>
    <w:rsid w:val="00B75A77"/>
    <w:rsid w:val="00B76FBF"/>
    <w:rsid w:val="00B77572"/>
    <w:rsid w:val="00B808F2"/>
    <w:rsid w:val="00B82A45"/>
    <w:rsid w:val="00B83723"/>
    <w:rsid w:val="00B8378F"/>
    <w:rsid w:val="00B85A39"/>
    <w:rsid w:val="00B90450"/>
    <w:rsid w:val="00B904BC"/>
    <w:rsid w:val="00B90690"/>
    <w:rsid w:val="00B912A9"/>
    <w:rsid w:val="00B92B1A"/>
    <w:rsid w:val="00B945E9"/>
    <w:rsid w:val="00B969F4"/>
    <w:rsid w:val="00BA14C0"/>
    <w:rsid w:val="00BA3405"/>
    <w:rsid w:val="00BA3B36"/>
    <w:rsid w:val="00BA460E"/>
    <w:rsid w:val="00BA6FDD"/>
    <w:rsid w:val="00BA7146"/>
    <w:rsid w:val="00BB06AC"/>
    <w:rsid w:val="00BB2F6D"/>
    <w:rsid w:val="00BB3591"/>
    <w:rsid w:val="00BB39B8"/>
    <w:rsid w:val="00BB3A06"/>
    <w:rsid w:val="00BB542C"/>
    <w:rsid w:val="00BB68A7"/>
    <w:rsid w:val="00BB6CD4"/>
    <w:rsid w:val="00BB6EEF"/>
    <w:rsid w:val="00BC0304"/>
    <w:rsid w:val="00BC16D0"/>
    <w:rsid w:val="00BC2127"/>
    <w:rsid w:val="00BC434E"/>
    <w:rsid w:val="00BC4F3B"/>
    <w:rsid w:val="00BC6778"/>
    <w:rsid w:val="00BC6D94"/>
    <w:rsid w:val="00BD0EB3"/>
    <w:rsid w:val="00BD1A57"/>
    <w:rsid w:val="00BD3076"/>
    <w:rsid w:val="00BD3098"/>
    <w:rsid w:val="00BD53E4"/>
    <w:rsid w:val="00BD545E"/>
    <w:rsid w:val="00BD6B5B"/>
    <w:rsid w:val="00BE02D0"/>
    <w:rsid w:val="00BE055E"/>
    <w:rsid w:val="00BE0766"/>
    <w:rsid w:val="00BE07FB"/>
    <w:rsid w:val="00BE4526"/>
    <w:rsid w:val="00BE4C77"/>
    <w:rsid w:val="00BE64D2"/>
    <w:rsid w:val="00BF0AC1"/>
    <w:rsid w:val="00BF3F70"/>
    <w:rsid w:val="00BF57C9"/>
    <w:rsid w:val="00BF66F7"/>
    <w:rsid w:val="00BF7D5A"/>
    <w:rsid w:val="00C00210"/>
    <w:rsid w:val="00C02D2B"/>
    <w:rsid w:val="00C033C6"/>
    <w:rsid w:val="00C064D4"/>
    <w:rsid w:val="00C076DA"/>
    <w:rsid w:val="00C10172"/>
    <w:rsid w:val="00C104BC"/>
    <w:rsid w:val="00C1205A"/>
    <w:rsid w:val="00C13315"/>
    <w:rsid w:val="00C13D9C"/>
    <w:rsid w:val="00C15AC7"/>
    <w:rsid w:val="00C172FB"/>
    <w:rsid w:val="00C1741E"/>
    <w:rsid w:val="00C20D33"/>
    <w:rsid w:val="00C2226C"/>
    <w:rsid w:val="00C227BC"/>
    <w:rsid w:val="00C22F19"/>
    <w:rsid w:val="00C2396D"/>
    <w:rsid w:val="00C2421E"/>
    <w:rsid w:val="00C247FC"/>
    <w:rsid w:val="00C2487C"/>
    <w:rsid w:val="00C276E6"/>
    <w:rsid w:val="00C277D1"/>
    <w:rsid w:val="00C315E7"/>
    <w:rsid w:val="00C32AA9"/>
    <w:rsid w:val="00C32B06"/>
    <w:rsid w:val="00C32FE6"/>
    <w:rsid w:val="00C3604D"/>
    <w:rsid w:val="00C3672F"/>
    <w:rsid w:val="00C37425"/>
    <w:rsid w:val="00C37443"/>
    <w:rsid w:val="00C41793"/>
    <w:rsid w:val="00C431BE"/>
    <w:rsid w:val="00C477BC"/>
    <w:rsid w:val="00C50127"/>
    <w:rsid w:val="00C50A90"/>
    <w:rsid w:val="00C51934"/>
    <w:rsid w:val="00C52658"/>
    <w:rsid w:val="00C540EE"/>
    <w:rsid w:val="00C545A4"/>
    <w:rsid w:val="00C56533"/>
    <w:rsid w:val="00C6061B"/>
    <w:rsid w:val="00C606DE"/>
    <w:rsid w:val="00C62D69"/>
    <w:rsid w:val="00C633E5"/>
    <w:rsid w:val="00C641AA"/>
    <w:rsid w:val="00C65288"/>
    <w:rsid w:val="00C669A0"/>
    <w:rsid w:val="00C66BF4"/>
    <w:rsid w:val="00C70B56"/>
    <w:rsid w:val="00C727E3"/>
    <w:rsid w:val="00C734B4"/>
    <w:rsid w:val="00C75F55"/>
    <w:rsid w:val="00C766CB"/>
    <w:rsid w:val="00C77C15"/>
    <w:rsid w:val="00C80B6A"/>
    <w:rsid w:val="00C81472"/>
    <w:rsid w:val="00C82E5E"/>
    <w:rsid w:val="00C82EA9"/>
    <w:rsid w:val="00C831E6"/>
    <w:rsid w:val="00C84539"/>
    <w:rsid w:val="00C84EF5"/>
    <w:rsid w:val="00C850A4"/>
    <w:rsid w:val="00C853CA"/>
    <w:rsid w:val="00C86871"/>
    <w:rsid w:val="00C8694E"/>
    <w:rsid w:val="00C86FF8"/>
    <w:rsid w:val="00C874EE"/>
    <w:rsid w:val="00C903A3"/>
    <w:rsid w:val="00C912CE"/>
    <w:rsid w:val="00C92ED1"/>
    <w:rsid w:val="00C94B71"/>
    <w:rsid w:val="00C94F7F"/>
    <w:rsid w:val="00C96A8C"/>
    <w:rsid w:val="00C96D50"/>
    <w:rsid w:val="00C979E9"/>
    <w:rsid w:val="00C97F6D"/>
    <w:rsid w:val="00CA15F7"/>
    <w:rsid w:val="00CA55D4"/>
    <w:rsid w:val="00CA5974"/>
    <w:rsid w:val="00CA6546"/>
    <w:rsid w:val="00CA7A2E"/>
    <w:rsid w:val="00CB05B4"/>
    <w:rsid w:val="00CB0FF3"/>
    <w:rsid w:val="00CB1876"/>
    <w:rsid w:val="00CB1CB4"/>
    <w:rsid w:val="00CB1D63"/>
    <w:rsid w:val="00CB38CF"/>
    <w:rsid w:val="00CB5B9F"/>
    <w:rsid w:val="00CB6020"/>
    <w:rsid w:val="00CB737E"/>
    <w:rsid w:val="00CC350B"/>
    <w:rsid w:val="00CC515A"/>
    <w:rsid w:val="00CC571B"/>
    <w:rsid w:val="00CC582E"/>
    <w:rsid w:val="00CC68FF"/>
    <w:rsid w:val="00CC6EC0"/>
    <w:rsid w:val="00CC7766"/>
    <w:rsid w:val="00CD003E"/>
    <w:rsid w:val="00CD0242"/>
    <w:rsid w:val="00CD2925"/>
    <w:rsid w:val="00CD308F"/>
    <w:rsid w:val="00CD5458"/>
    <w:rsid w:val="00CD5E1A"/>
    <w:rsid w:val="00CD735B"/>
    <w:rsid w:val="00CD73FD"/>
    <w:rsid w:val="00CD7812"/>
    <w:rsid w:val="00CD78D1"/>
    <w:rsid w:val="00CD7BBD"/>
    <w:rsid w:val="00CE0AAE"/>
    <w:rsid w:val="00CE1ED7"/>
    <w:rsid w:val="00CE214F"/>
    <w:rsid w:val="00CE2EA5"/>
    <w:rsid w:val="00CE3669"/>
    <w:rsid w:val="00CE40AC"/>
    <w:rsid w:val="00CE50F4"/>
    <w:rsid w:val="00CE69B6"/>
    <w:rsid w:val="00CE6E44"/>
    <w:rsid w:val="00CE71B9"/>
    <w:rsid w:val="00CE77E5"/>
    <w:rsid w:val="00CE7E9C"/>
    <w:rsid w:val="00CF34FE"/>
    <w:rsid w:val="00CF4B1C"/>
    <w:rsid w:val="00CF5977"/>
    <w:rsid w:val="00CF6BB0"/>
    <w:rsid w:val="00D01DF7"/>
    <w:rsid w:val="00D049F8"/>
    <w:rsid w:val="00D04AB9"/>
    <w:rsid w:val="00D05E75"/>
    <w:rsid w:val="00D10A24"/>
    <w:rsid w:val="00D11115"/>
    <w:rsid w:val="00D119B8"/>
    <w:rsid w:val="00D11A16"/>
    <w:rsid w:val="00D12567"/>
    <w:rsid w:val="00D136D2"/>
    <w:rsid w:val="00D138F1"/>
    <w:rsid w:val="00D15562"/>
    <w:rsid w:val="00D15C50"/>
    <w:rsid w:val="00D1702C"/>
    <w:rsid w:val="00D20ED8"/>
    <w:rsid w:val="00D2158E"/>
    <w:rsid w:val="00D217BA"/>
    <w:rsid w:val="00D21D23"/>
    <w:rsid w:val="00D24265"/>
    <w:rsid w:val="00D247D3"/>
    <w:rsid w:val="00D268BF"/>
    <w:rsid w:val="00D311A3"/>
    <w:rsid w:val="00D31408"/>
    <w:rsid w:val="00D31484"/>
    <w:rsid w:val="00D31C33"/>
    <w:rsid w:val="00D32E30"/>
    <w:rsid w:val="00D33761"/>
    <w:rsid w:val="00D33BD6"/>
    <w:rsid w:val="00D34551"/>
    <w:rsid w:val="00D36737"/>
    <w:rsid w:val="00D37AA7"/>
    <w:rsid w:val="00D412FC"/>
    <w:rsid w:val="00D42403"/>
    <w:rsid w:val="00D43224"/>
    <w:rsid w:val="00D43467"/>
    <w:rsid w:val="00D44666"/>
    <w:rsid w:val="00D44C46"/>
    <w:rsid w:val="00D45E7B"/>
    <w:rsid w:val="00D47D7B"/>
    <w:rsid w:val="00D506FC"/>
    <w:rsid w:val="00D50992"/>
    <w:rsid w:val="00D52098"/>
    <w:rsid w:val="00D531C9"/>
    <w:rsid w:val="00D53574"/>
    <w:rsid w:val="00D55424"/>
    <w:rsid w:val="00D56947"/>
    <w:rsid w:val="00D56CB2"/>
    <w:rsid w:val="00D63913"/>
    <w:rsid w:val="00D64096"/>
    <w:rsid w:val="00D6470A"/>
    <w:rsid w:val="00D64D4B"/>
    <w:rsid w:val="00D66CC6"/>
    <w:rsid w:val="00D67438"/>
    <w:rsid w:val="00D71502"/>
    <w:rsid w:val="00D727C9"/>
    <w:rsid w:val="00D7280C"/>
    <w:rsid w:val="00D733A9"/>
    <w:rsid w:val="00D7389B"/>
    <w:rsid w:val="00D77873"/>
    <w:rsid w:val="00D82F06"/>
    <w:rsid w:val="00D83440"/>
    <w:rsid w:val="00D84309"/>
    <w:rsid w:val="00D86CFC"/>
    <w:rsid w:val="00D86ED8"/>
    <w:rsid w:val="00D87903"/>
    <w:rsid w:val="00D87BF1"/>
    <w:rsid w:val="00D9084C"/>
    <w:rsid w:val="00D9177D"/>
    <w:rsid w:val="00D91DCC"/>
    <w:rsid w:val="00D93FC4"/>
    <w:rsid w:val="00D9410C"/>
    <w:rsid w:val="00D94663"/>
    <w:rsid w:val="00D9600E"/>
    <w:rsid w:val="00D96CEF"/>
    <w:rsid w:val="00DA41D0"/>
    <w:rsid w:val="00DA5B54"/>
    <w:rsid w:val="00DB09D7"/>
    <w:rsid w:val="00DB3F13"/>
    <w:rsid w:val="00DB3FDD"/>
    <w:rsid w:val="00DB41D6"/>
    <w:rsid w:val="00DB4687"/>
    <w:rsid w:val="00DB4BB5"/>
    <w:rsid w:val="00DB58BA"/>
    <w:rsid w:val="00DB5B9D"/>
    <w:rsid w:val="00DC40DA"/>
    <w:rsid w:val="00DC4969"/>
    <w:rsid w:val="00DD02D3"/>
    <w:rsid w:val="00DD0959"/>
    <w:rsid w:val="00DD42DC"/>
    <w:rsid w:val="00DD557A"/>
    <w:rsid w:val="00DD5E08"/>
    <w:rsid w:val="00DD63F0"/>
    <w:rsid w:val="00DD6D02"/>
    <w:rsid w:val="00DD7267"/>
    <w:rsid w:val="00DD7643"/>
    <w:rsid w:val="00DD7A04"/>
    <w:rsid w:val="00DE0894"/>
    <w:rsid w:val="00DE2D36"/>
    <w:rsid w:val="00DF0574"/>
    <w:rsid w:val="00DF3F66"/>
    <w:rsid w:val="00DF4AFA"/>
    <w:rsid w:val="00DF52F5"/>
    <w:rsid w:val="00DF5A41"/>
    <w:rsid w:val="00DF6CF4"/>
    <w:rsid w:val="00DF772D"/>
    <w:rsid w:val="00DF77EC"/>
    <w:rsid w:val="00E00684"/>
    <w:rsid w:val="00E00B6E"/>
    <w:rsid w:val="00E01435"/>
    <w:rsid w:val="00E02EBE"/>
    <w:rsid w:val="00E03AA7"/>
    <w:rsid w:val="00E03C2F"/>
    <w:rsid w:val="00E048BC"/>
    <w:rsid w:val="00E0731A"/>
    <w:rsid w:val="00E0768D"/>
    <w:rsid w:val="00E0783A"/>
    <w:rsid w:val="00E07BC0"/>
    <w:rsid w:val="00E12F0A"/>
    <w:rsid w:val="00E1341F"/>
    <w:rsid w:val="00E147DB"/>
    <w:rsid w:val="00E154DE"/>
    <w:rsid w:val="00E16775"/>
    <w:rsid w:val="00E169DB"/>
    <w:rsid w:val="00E1728A"/>
    <w:rsid w:val="00E1764D"/>
    <w:rsid w:val="00E17B64"/>
    <w:rsid w:val="00E2024E"/>
    <w:rsid w:val="00E20292"/>
    <w:rsid w:val="00E2044A"/>
    <w:rsid w:val="00E25EFB"/>
    <w:rsid w:val="00E26593"/>
    <w:rsid w:val="00E26A0D"/>
    <w:rsid w:val="00E309A3"/>
    <w:rsid w:val="00E32217"/>
    <w:rsid w:val="00E33550"/>
    <w:rsid w:val="00E3369F"/>
    <w:rsid w:val="00E339AD"/>
    <w:rsid w:val="00E350AC"/>
    <w:rsid w:val="00E35703"/>
    <w:rsid w:val="00E3570C"/>
    <w:rsid w:val="00E37C33"/>
    <w:rsid w:val="00E4473E"/>
    <w:rsid w:val="00E448B4"/>
    <w:rsid w:val="00E4591F"/>
    <w:rsid w:val="00E473FB"/>
    <w:rsid w:val="00E50242"/>
    <w:rsid w:val="00E504B4"/>
    <w:rsid w:val="00E532AF"/>
    <w:rsid w:val="00E53435"/>
    <w:rsid w:val="00E5477A"/>
    <w:rsid w:val="00E5486D"/>
    <w:rsid w:val="00E60314"/>
    <w:rsid w:val="00E606A0"/>
    <w:rsid w:val="00E60907"/>
    <w:rsid w:val="00E60B3C"/>
    <w:rsid w:val="00E610A6"/>
    <w:rsid w:val="00E611B4"/>
    <w:rsid w:val="00E613FD"/>
    <w:rsid w:val="00E6280B"/>
    <w:rsid w:val="00E6488E"/>
    <w:rsid w:val="00E6527E"/>
    <w:rsid w:val="00E65A81"/>
    <w:rsid w:val="00E6760B"/>
    <w:rsid w:val="00E67E0B"/>
    <w:rsid w:val="00E72393"/>
    <w:rsid w:val="00E727AB"/>
    <w:rsid w:val="00E73676"/>
    <w:rsid w:val="00E73BDE"/>
    <w:rsid w:val="00E74481"/>
    <w:rsid w:val="00E74AC1"/>
    <w:rsid w:val="00E74F42"/>
    <w:rsid w:val="00E7605C"/>
    <w:rsid w:val="00E80AA0"/>
    <w:rsid w:val="00E82669"/>
    <w:rsid w:val="00E82F3F"/>
    <w:rsid w:val="00E83BFC"/>
    <w:rsid w:val="00E85997"/>
    <w:rsid w:val="00E901FB"/>
    <w:rsid w:val="00E90C84"/>
    <w:rsid w:val="00E9182E"/>
    <w:rsid w:val="00E91851"/>
    <w:rsid w:val="00E924DB"/>
    <w:rsid w:val="00E945F9"/>
    <w:rsid w:val="00EA2C6E"/>
    <w:rsid w:val="00EA5CA0"/>
    <w:rsid w:val="00EA69DF"/>
    <w:rsid w:val="00EB124D"/>
    <w:rsid w:val="00EB162E"/>
    <w:rsid w:val="00EB2D14"/>
    <w:rsid w:val="00EB3DA3"/>
    <w:rsid w:val="00EB4DFC"/>
    <w:rsid w:val="00EB5DC9"/>
    <w:rsid w:val="00EB6A78"/>
    <w:rsid w:val="00EB6D9E"/>
    <w:rsid w:val="00EC1FC7"/>
    <w:rsid w:val="00EC3915"/>
    <w:rsid w:val="00EC5816"/>
    <w:rsid w:val="00EC5F21"/>
    <w:rsid w:val="00ED153D"/>
    <w:rsid w:val="00ED1A2E"/>
    <w:rsid w:val="00ED3A3C"/>
    <w:rsid w:val="00ED3E33"/>
    <w:rsid w:val="00ED4568"/>
    <w:rsid w:val="00ED6033"/>
    <w:rsid w:val="00ED6A62"/>
    <w:rsid w:val="00ED73C7"/>
    <w:rsid w:val="00ED778E"/>
    <w:rsid w:val="00EE124F"/>
    <w:rsid w:val="00EE5449"/>
    <w:rsid w:val="00EE62CF"/>
    <w:rsid w:val="00EE6575"/>
    <w:rsid w:val="00EF0E5A"/>
    <w:rsid w:val="00EF138D"/>
    <w:rsid w:val="00EF2D8E"/>
    <w:rsid w:val="00EF4E6E"/>
    <w:rsid w:val="00EF5198"/>
    <w:rsid w:val="00EF53BB"/>
    <w:rsid w:val="00EF5994"/>
    <w:rsid w:val="00EF5B8F"/>
    <w:rsid w:val="00EF5E27"/>
    <w:rsid w:val="00EF69FC"/>
    <w:rsid w:val="00EF6AA9"/>
    <w:rsid w:val="00EF7FC7"/>
    <w:rsid w:val="00F007D3"/>
    <w:rsid w:val="00F00B42"/>
    <w:rsid w:val="00F00CC9"/>
    <w:rsid w:val="00F01524"/>
    <w:rsid w:val="00F0188C"/>
    <w:rsid w:val="00F02A21"/>
    <w:rsid w:val="00F04660"/>
    <w:rsid w:val="00F05456"/>
    <w:rsid w:val="00F07E24"/>
    <w:rsid w:val="00F07FA5"/>
    <w:rsid w:val="00F12203"/>
    <w:rsid w:val="00F126C7"/>
    <w:rsid w:val="00F1636A"/>
    <w:rsid w:val="00F16F8E"/>
    <w:rsid w:val="00F20FDD"/>
    <w:rsid w:val="00F22492"/>
    <w:rsid w:val="00F229E0"/>
    <w:rsid w:val="00F22DBC"/>
    <w:rsid w:val="00F2327B"/>
    <w:rsid w:val="00F23ABD"/>
    <w:rsid w:val="00F242ED"/>
    <w:rsid w:val="00F26EA3"/>
    <w:rsid w:val="00F3006B"/>
    <w:rsid w:val="00F30131"/>
    <w:rsid w:val="00F306A9"/>
    <w:rsid w:val="00F319B3"/>
    <w:rsid w:val="00F33712"/>
    <w:rsid w:val="00F33BFA"/>
    <w:rsid w:val="00F3729F"/>
    <w:rsid w:val="00F40367"/>
    <w:rsid w:val="00F40A78"/>
    <w:rsid w:val="00F40AB1"/>
    <w:rsid w:val="00F40DC5"/>
    <w:rsid w:val="00F41B9C"/>
    <w:rsid w:val="00F427C8"/>
    <w:rsid w:val="00F432FB"/>
    <w:rsid w:val="00F446F0"/>
    <w:rsid w:val="00F46091"/>
    <w:rsid w:val="00F47677"/>
    <w:rsid w:val="00F50E83"/>
    <w:rsid w:val="00F551EC"/>
    <w:rsid w:val="00F56CEB"/>
    <w:rsid w:val="00F60577"/>
    <w:rsid w:val="00F61309"/>
    <w:rsid w:val="00F63D7C"/>
    <w:rsid w:val="00F64B79"/>
    <w:rsid w:val="00F6531F"/>
    <w:rsid w:val="00F66A8E"/>
    <w:rsid w:val="00F6776E"/>
    <w:rsid w:val="00F7071B"/>
    <w:rsid w:val="00F73716"/>
    <w:rsid w:val="00F74389"/>
    <w:rsid w:val="00F76E99"/>
    <w:rsid w:val="00F807E9"/>
    <w:rsid w:val="00F80853"/>
    <w:rsid w:val="00F80B14"/>
    <w:rsid w:val="00F81603"/>
    <w:rsid w:val="00F82553"/>
    <w:rsid w:val="00F84F86"/>
    <w:rsid w:val="00F90368"/>
    <w:rsid w:val="00F910CC"/>
    <w:rsid w:val="00F92379"/>
    <w:rsid w:val="00F92432"/>
    <w:rsid w:val="00F9600E"/>
    <w:rsid w:val="00F96567"/>
    <w:rsid w:val="00FA196B"/>
    <w:rsid w:val="00FA1A1B"/>
    <w:rsid w:val="00FA2FD6"/>
    <w:rsid w:val="00FA2FDB"/>
    <w:rsid w:val="00FA32EF"/>
    <w:rsid w:val="00FA448E"/>
    <w:rsid w:val="00FA5B8F"/>
    <w:rsid w:val="00FB4886"/>
    <w:rsid w:val="00FB4FD7"/>
    <w:rsid w:val="00FB50C2"/>
    <w:rsid w:val="00FB5BB0"/>
    <w:rsid w:val="00FB6CF6"/>
    <w:rsid w:val="00FB71B5"/>
    <w:rsid w:val="00FB7ADE"/>
    <w:rsid w:val="00FC14BB"/>
    <w:rsid w:val="00FC150A"/>
    <w:rsid w:val="00FC19C5"/>
    <w:rsid w:val="00FC2169"/>
    <w:rsid w:val="00FC27A9"/>
    <w:rsid w:val="00FC340A"/>
    <w:rsid w:val="00FC3529"/>
    <w:rsid w:val="00FC575B"/>
    <w:rsid w:val="00FC6CD5"/>
    <w:rsid w:val="00FC7893"/>
    <w:rsid w:val="00FC7BC4"/>
    <w:rsid w:val="00FC7EB9"/>
    <w:rsid w:val="00FD1145"/>
    <w:rsid w:val="00FD304C"/>
    <w:rsid w:val="00FD3647"/>
    <w:rsid w:val="00FD6DA0"/>
    <w:rsid w:val="00FD7BF7"/>
    <w:rsid w:val="00FE32D3"/>
    <w:rsid w:val="00FE547F"/>
    <w:rsid w:val="00FE579B"/>
    <w:rsid w:val="00FE65F3"/>
    <w:rsid w:val="00FE7092"/>
    <w:rsid w:val="00FF1570"/>
    <w:rsid w:val="00FF21B2"/>
    <w:rsid w:val="00FF22D5"/>
    <w:rsid w:val="00FF2843"/>
    <w:rsid w:val="00FF49F5"/>
    <w:rsid w:val="00FF4A24"/>
    <w:rsid w:val="00FF4A32"/>
    <w:rsid w:val="00FF6D5F"/>
    <w:rsid w:val="00FF6F22"/>
    <w:rsid w:val="00FF78C9"/>
    <w:rsid w:val="00FF7B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DB62C603-3FD6-474D-A5E3-B1A2E35A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5"/>
    <w:rPr>
      <w:rFonts w:ascii="Calibri" w:eastAsia="Calibri" w:hAnsi="Calibri" w:cs="Times New Roman"/>
      <w:sz w:val="24"/>
      <w:szCs w:val="24"/>
    </w:rPr>
  </w:style>
  <w:style w:type="paragraph" w:styleId="Heading1">
    <w:name w:val="heading 1"/>
    <w:next w:val="Normal"/>
    <w:link w:val="Heading1Char"/>
    <w:uiPriority w:val="9"/>
    <w:qFormat/>
    <w:rsid w:val="009B58D6"/>
    <w:pPr>
      <w:outlineLvl w:val="0"/>
    </w:pPr>
    <w:rPr>
      <w:rFonts w:ascii="Arial" w:eastAsia="Calibri" w:hAnsi="Arial" w:cs="Arial"/>
      <w:color w:val="1F497D"/>
      <w:sz w:val="32"/>
      <w:szCs w:val="32"/>
    </w:rPr>
  </w:style>
  <w:style w:type="paragraph" w:styleId="Heading2">
    <w:name w:val="heading 2"/>
    <w:basedOn w:val="Normal"/>
    <w:next w:val="Normal"/>
    <w:link w:val="Heading2Char"/>
    <w:uiPriority w:val="9"/>
    <w:unhideWhenUsed/>
    <w:qFormat/>
    <w:rsid w:val="00B74AE1"/>
    <w:pPr>
      <w:outlineLvl w:val="1"/>
    </w:pPr>
    <w:rPr>
      <w:color w:val="4F81BD" w:themeColor="accent1"/>
      <w:sz w:val="28"/>
      <w:szCs w:val="28"/>
    </w:rPr>
  </w:style>
  <w:style w:type="paragraph" w:styleId="Heading3">
    <w:name w:val="heading 3"/>
    <w:basedOn w:val="Normal"/>
    <w:next w:val="Normal"/>
    <w:link w:val="Heading3Char"/>
    <w:uiPriority w:val="9"/>
    <w:unhideWhenUsed/>
    <w:qFormat/>
    <w:rsid w:val="007F1ACF"/>
    <w:pPr>
      <w:outlineLvl w:val="2"/>
    </w:pPr>
    <w:rPr>
      <w:color w:val="1F497D" w:themeColor="text2"/>
    </w:rPr>
  </w:style>
  <w:style w:type="paragraph" w:styleId="Heading4">
    <w:name w:val="heading 4"/>
    <w:basedOn w:val="Normal"/>
    <w:next w:val="Normal"/>
    <w:link w:val="Heading4Char"/>
    <w:uiPriority w:val="9"/>
    <w:unhideWhenUsed/>
    <w:rsid w:val="00B74AE1"/>
    <w:pPr>
      <w:outlineLvl w:val="3"/>
    </w:pPr>
    <w:rPr>
      <w:i/>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Bulleted Para,CV text,Dot pt,F5 List Paragraph,FooterText,L,List Paragraph111,List Paragraph2,Medium Grid 1 - Accent 21,NFP GP Bulleted List,Numbered Paragraph,Table text,numbered,列出段落,列出段落1"/>
    <w:basedOn w:val="Normal"/>
    <w:link w:val="ListParagraphChar"/>
    <w:autoRedefine/>
    <w:uiPriority w:val="34"/>
    <w:qFormat/>
    <w:rsid w:val="00A83E7A"/>
    <w:pPr>
      <w:numPr>
        <w:numId w:val="8"/>
      </w:numPr>
      <w:tabs>
        <w:tab w:val="left" w:pos="8080"/>
      </w:tabs>
      <w:spacing w:before="120" w:after="160" w:line="259" w:lineRule="auto"/>
      <w:contextualSpacing/>
    </w:pPr>
    <w:rPr>
      <w:rFonts w:asciiTheme="minorHAnsi" w:hAnsiTheme="minorHAnsi" w:cs="FranklinGothic-Book"/>
      <w:color w:val="000000"/>
      <w:lang w:val="en-US"/>
    </w:rPr>
  </w:style>
  <w:style w:type="paragraph" w:customStyle="1" w:styleId="Listtableheading">
    <w:name w:val="List/table heading"/>
    <w:basedOn w:val="Heading2"/>
    <w:link w:val="ListtableheadingChar"/>
    <w:autoRedefine/>
    <w:rsid w:val="007200BD"/>
    <w:pPr>
      <w:tabs>
        <w:tab w:val="num" w:pos="720"/>
      </w:tabs>
      <w:spacing w:before="120" w:after="120" w:line="240" w:lineRule="auto"/>
      <w:ind w:left="720" w:hanging="720"/>
      <w:outlineLvl w:val="0"/>
    </w:pPr>
    <w:rPr>
      <w:b/>
      <w:bCs/>
      <w:color w:val="4E84C4"/>
      <w:spacing w:val="2"/>
      <w:sz w:val="20"/>
      <w:szCs w:val="24"/>
      <w:u w:color="548DD4" w:themeColor="text2" w:themeTint="99"/>
      <w:lang w:val="en-US"/>
    </w:rPr>
  </w:style>
  <w:style w:type="character" w:customStyle="1" w:styleId="ListtableheadingChar">
    <w:name w:val="List/table heading Char"/>
    <w:basedOn w:val="Heading2Char"/>
    <w:link w:val="Listtableheading"/>
    <w:rsid w:val="007200BD"/>
    <w:rPr>
      <w:rFonts w:ascii="Arial" w:hAnsi="Arial" w:cs="Arial"/>
      <w:b/>
      <w:bCs/>
      <w:color w:val="4E84C4"/>
      <w:spacing w:val="2"/>
      <w:sz w:val="20"/>
      <w:szCs w:val="24"/>
      <w:u w:color="548DD4" w:themeColor="text2" w:themeTint="99"/>
      <w:lang w:val="en-US"/>
    </w:rPr>
  </w:style>
  <w:style w:type="character" w:customStyle="1" w:styleId="Heading2Char">
    <w:name w:val="Heading 2 Char"/>
    <w:basedOn w:val="DefaultParagraphFont"/>
    <w:link w:val="Heading2"/>
    <w:uiPriority w:val="9"/>
    <w:rsid w:val="00B74AE1"/>
    <w:rPr>
      <w:rFonts w:ascii="Arial" w:hAnsi="Arial" w:cs="Arial"/>
      <w:color w:val="4F81BD" w:themeColor="accent1"/>
      <w:sz w:val="28"/>
      <w:szCs w:val="28"/>
    </w:rPr>
  </w:style>
  <w:style w:type="paragraph" w:customStyle="1" w:styleId="COVERPUBLICATIONTITLE">
    <w:name w:val="COVER_PUBLICATION_TITLE"/>
    <w:basedOn w:val="Normal"/>
    <w:link w:val="COVERPUBLICATIONTITLEChar"/>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9B58D6"/>
    <w:rPr>
      <w:rFonts w:ascii="Arial" w:eastAsia="Calibri" w:hAnsi="Arial" w:cs="Arial"/>
      <w:color w:val="1F497D"/>
      <w:sz w:val="32"/>
      <w:szCs w:val="32"/>
    </w:rPr>
  </w:style>
  <w:style w:type="character" w:customStyle="1" w:styleId="Heading3Char">
    <w:name w:val="Heading 3 Char"/>
    <w:basedOn w:val="DefaultParagraphFont"/>
    <w:link w:val="Heading3"/>
    <w:uiPriority w:val="9"/>
    <w:rsid w:val="007F1ACF"/>
    <w:rPr>
      <w:rFonts w:ascii="Calibri" w:eastAsia="Calibri" w:hAnsi="Calibri" w:cs="Times New Roman"/>
      <w:color w:val="1F497D" w:themeColor="text2"/>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rsid w:val="00CD73FD"/>
    <w:pPr>
      <w:spacing w:after="0" w:line="240" w:lineRule="auto"/>
    </w:pPr>
    <w:rPr>
      <w:rFonts w:cs="FranklinGothic-Book"/>
      <w:b/>
      <w:color w:val="000000"/>
      <w:sz w:val="18"/>
      <w:szCs w:val="18"/>
      <w:lang w:val="en-US"/>
    </w:rPr>
  </w:style>
  <w:style w:type="paragraph" w:customStyle="1" w:styleId="TableText">
    <w:name w:val="Table Text"/>
    <w:basedOn w:val="Normal"/>
    <w:link w:val="TableTextChar"/>
    <w:rsid w:val="00CD73FD"/>
    <w:pPr>
      <w:spacing w:after="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CD73FD"/>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CD73FD"/>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next w:val="Normal"/>
    <w:link w:val="TitleChar"/>
    <w:uiPriority w:val="10"/>
    <w:qFormat/>
    <w:rsid w:val="00562895"/>
    <w:pPr>
      <w:suppressAutoHyphens/>
      <w:autoSpaceDE w:val="0"/>
      <w:autoSpaceDN w:val="0"/>
      <w:adjustRightInd w:val="0"/>
      <w:spacing w:before="480" w:after="360" w:line="240" w:lineRule="auto"/>
      <w:ind w:left="567"/>
      <w:textAlignment w:val="center"/>
    </w:pPr>
    <w:rPr>
      <w:rFonts w:ascii="Georgia" w:eastAsia="MS Gothic" w:hAnsi="Georgia" w:cs="Times New Roman"/>
      <w:color w:val="17365D"/>
      <w:spacing w:val="5"/>
      <w:kern w:val="28"/>
      <w:sz w:val="52"/>
      <w:szCs w:val="52"/>
    </w:rPr>
  </w:style>
  <w:style w:type="character" w:customStyle="1" w:styleId="TitleChar">
    <w:name w:val="Title Char"/>
    <w:basedOn w:val="DefaultParagraphFont"/>
    <w:link w:val="Title"/>
    <w:uiPriority w:val="10"/>
    <w:rsid w:val="00562895"/>
    <w:rPr>
      <w:rFonts w:ascii="Georgia" w:eastAsia="MS Gothic" w:hAnsi="Georgia" w:cs="Times New Roman"/>
      <w:color w:val="17365D"/>
      <w:spacing w:val="5"/>
      <w:kern w:val="28"/>
      <w:sz w:val="52"/>
      <w:szCs w:val="52"/>
    </w:rPr>
  </w:style>
  <w:style w:type="paragraph" w:customStyle="1" w:styleId="NormalBullet">
    <w:name w:val="Normal Bullet"/>
    <w:basedOn w:val="ListParagraph"/>
    <w:qFormat/>
    <w:rsid w:val="005100AC"/>
    <w:pPr>
      <w:framePr w:wrap="around" w:hAnchor="text"/>
    </w:p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styleId="NoSpacing">
    <w:name w:val="No Spacing"/>
    <w:basedOn w:val="Heading1"/>
    <w:uiPriority w:val="1"/>
    <w:rsid w:val="00B45693"/>
  </w:style>
  <w:style w:type="paragraph" w:styleId="FootnoteText">
    <w:name w:val="footnote text"/>
    <w:basedOn w:val="Normal"/>
    <w:link w:val="FootnoteTextChar"/>
    <w:uiPriority w:val="99"/>
    <w:unhideWhenUsed/>
    <w:qFormat/>
    <w:rsid w:val="00E9182E"/>
    <w:pPr>
      <w:spacing w:after="0" w:line="240" w:lineRule="auto"/>
    </w:pPr>
    <w:rPr>
      <w:sz w:val="20"/>
    </w:rPr>
  </w:style>
  <w:style w:type="character" w:customStyle="1" w:styleId="FootnoteTextChar">
    <w:name w:val="Footnote Text Char"/>
    <w:basedOn w:val="DefaultParagraphFont"/>
    <w:link w:val="FootnoteText"/>
    <w:uiPriority w:val="99"/>
    <w:rsid w:val="00E9182E"/>
    <w:rPr>
      <w:rFonts w:ascii="Calibri" w:eastAsia="Calibri" w:hAnsi="Calibri" w:cs="Times New Roman"/>
      <w:sz w:val="20"/>
      <w:szCs w:val="24"/>
    </w:rPr>
  </w:style>
  <w:style w:type="character" w:styleId="FootnoteReference">
    <w:name w:val="footnote reference"/>
    <w:basedOn w:val="DefaultParagraphFont"/>
    <w:uiPriority w:val="99"/>
    <w:semiHidden/>
    <w:unhideWhenUsed/>
    <w:rsid w:val="00D31408"/>
    <w:rPr>
      <w:vertAlign w:val="superscript"/>
    </w:rPr>
  </w:style>
  <w:style w:type="paragraph" w:styleId="EndnoteText">
    <w:name w:val="endnote text"/>
    <w:basedOn w:val="Normal"/>
    <w:link w:val="EndnoteTextChar"/>
    <w:uiPriority w:val="99"/>
    <w:semiHidden/>
    <w:unhideWhenUsed/>
    <w:rsid w:val="00735EA7"/>
    <w:pPr>
      <w:spacing w:after="0" w:line="240" w:lineRule="auto"/>
    </w:pPr>
  </w:style>
  <w:style w:type="character" w:customStyle="1" w:styleId="EndnoteTextChar">
    <w:name w:val="Endnote Text Char"/>
    <w:basedOn w:val="DefaultParagraphFont"/>
    <w:link w:val="EndnoteText"/>
    <w:uiPriority w:val="99"/>
    <w:semiHidden/>
    <w:rsid w:val="00735EA7"/>
    <w:rPr>
      <w:rFonts w:ascii="Arial" w:hAnsi="Arial" w:cs="Arial"/>
      <w:sz w:val="20"/>
      <w:szCs w:val="20"/>
    </w:rPr>
  </w:style>
  <w:style w:type="character" w:styleId="EndnoteReference">
    <w:name w:val="endnote reference"/>
    <w:basedOn w:val="DefaultParagraphFont"/>
    <w:uiPriority w:val="99"/>
    <w:semiHidden/>
    <w:unhideWhenUsed/>
    <w:rsid w:val="00735EA7"/>
    <w:rPr>
      <w:vertAlign w:val="superscript"/>
    </w:rPr>
  </w:style>
  <w:style w:type="paragraph" w:customStyle="1" w:styleId="Default">
    <w:name w:val="Default"/>
    <w:rsid w:val="007A0E0F"/>
    <w:pPr>
      <w:autoSpaceDE w:val="0"/>
      <w:autoSpaceDN w:val="0"/>
      <w:adjustRightInd w:val="0"/>
      <w:spacing w:after="0" w:line="240" w:lineRule="auto"/>
    </w:pPr>
    <w:rPr>
      <w:rFonts w:ascii="Georgia" w:hAnsi="Georgia" w:cs="Georgia"/>
      <w:color w:val="000000"/>
      <w:sz w:val="24"/>
      <w:szCs w:val="24"/>
    </w:rPr>
  </w:style>
  <w:style w:type="character" w:customStyle="1" w:styleId="ListParagraphChar">
    <w:name w:val="List Paragraph Char"/>
    <w:aliases w:val="List Paragraph1 Char,Recommendation Char,List Paragraph11 Char,Bulleted Para Char,CV text Char,Dot pt Char,F5 List Paragraph Char,FooterText Char,L Char,List Paragraph111 Char,List Paragraph2 Char,Medium Grid 1 - Accent 21 Char"/>
    <w:link w:val="ListParagraph"/>
    <w:uiPriority w:val="34"/>
    <w:qFormat/>
    <w:locked/>
    <w:rsid w:val="00A83E7A"/>
    <w:rPr>
      <w:rFonts w:eastAsia="Calibri" w:cs="FranklinGothic-Book"/>
      <w:color w:val="000000"/>
      <w:sz w:val="24"/>
      <w:szCs w:val="24"/>
      <w:lang w:val="en-US"/>
    </w:rPr>
  </w:style>
  <w:style w:type="paragraph" w:styleId="NormalWeb">
    <w:name w:val="Normal (Web)"/>
    <w:basedOn w:val="Normal"/>
    <w:uiPriority w:val="99"/>
    <w:unhideWhenUsed/>
    <w:rsid w:val="0045233E"/>
    <w:pPr>
      <w:spacing w:before="100" w:beforeAutospacing="1" w:after="100" w:afterAutospacing="1" w:line="240" w:lineRule="auto"/>
    </w:pPr>
    <w:rPr>
      <w:rFonts w:ascii="Times New Roman" w:eastAsia="Times New Roman" w:hAnsi="Times New Roman"/>
      <w:lang w:eastAsia="en-AU"/>
    </w:rPr>
  </w:style>
  <w:style w:type="paragraph" w:customStyle="1" w:styleId="Pa18">
    <w:name w:val="Pa18"/>
    <w:basedOn w:val="Default"/>
    <w:next w:val="Default"/>
    <w:uiPriority w:val="99"/>
    <w:rsid w:val="0045233E"/>
    <w:pPr>
      <w:spacing w:line="201" w:lineRule="atLeast"/>
    </w:pPr>
    <w:rPr>
      <w:rFonts w:ascii="Whitney Book" w:hAnsi="Whitney Book" w:cstheme="minorBidi"/>
      <w:color w:val="auto"/>
    </w:rPr>
  </w:style>
  <w:style w:type="paragraph" w:customStyle="1" w:styleId="Pa15">
    <w:name w:val="Pa15"/>
    <w:basedOn w:val="Default"/>
    <w:next w:val="Default"/>
    <w:uiPriority w:val="99"/>
    <w:rsid w:val="0045233E"/>
    <w:pPr>
      <w:spacing w:line="211" w:lineRule="atLeast"/>
    </w:pPr>
    <w:rPr>
      <w:rFonts w:ascii="Whitney Bold" w:hAnsi="Whitney Bold" w:cstheme="minorBidi"/>
      <w:color w:val="auto"/>
    </w:rPr>
  </w:style>
  <w:style w:type="character" w:styleId="Strong">
    <w:name w:val="Strong"/>
    <w:basedOn w:val="DefaultParagraphFont"/>
    <w:uiPriority w:val="22"/>
    <w:rsid w:val="00F76E99"/>
    <w:rPr>
      <w:b/>
      <w:bCs/>
    </w:rPr>
  </w:style>
  <w:style w:type="character" w:customStyle="1" w:styleId="date-display-single2">
    <w:name w:val="date-display-single2"/>
    <w:basedOn w:val="DefaultParagraphFont"/>
    <w:rsid w:val="00F76E99"/>
  </w:style>
  <w:style w:type="character" w:customStyle="1" w:styleId="subheading2">
    <w:name w:val="subheading2"/>
    <w:basedOn w:val="DefaultParagraphFont"/>
    <w:rsid w:val="00F76E99"/>
    <w:rPr>
      <w:b w:val="0"/>
      <w:bCs w:val="0"/>
      <w:vanish w:val="0"/>
      <w:webHidden w:val="0"/>
      <w:sz w:val="22"/>
      <w:szCs w:val="22"/>
      <w:specVanish w:val="0"/>
    </w:rPr>
  </w:style>
  <w:style w:type="character" w:styleId="FollowedHyperlink">
    <w:name w:val="FollowedHyperlink"/>
    <w:basedOn w:val="DefaultParagraphFont"/>
    <w:uiPriority w:val="99"/>
    <w:semiHidden/>
    <w:unhideWhenUsed/>
    <w:rsid w:val="00F76E99"/>
    <w:rPr>
      <w:color w:val="800080" w:themeColor="followedHyperlink"/>
      <w:u w:val="single"/>
    </w:rPr>
  </w:style>
  <w:style w:type="paragraph" w:customStyle="1" w:styleId="doctype1">
    <w:name w:val="doc_type1"/>
    <w:basedOn w:val="Normal"/>
    <w:rsid w:val="00F76E99"/>
    <w:pPr>
      <w:spacing w:after="0" w:line="240" w:lineRule="auto"/>
    </w:pPr>
    <w:rPr>
      <w:rFonts w:ascii="Lato" w:eastAsia="Times New Roman" w:hAnsi="Lato"/>
      <w:b/>
      <w:bCs/>
      <w:caps/>
      <w:color w:val="FFFFFF"/>
      <w:sz w:val="17"/>
      <w:szCs w:val="17"/>
      <w:lang w:eastAsia="en-AU"/>
    </w:rPr>
  </w:style>
  <w:style w:type="paragraph" w:customStyle="1" w:styleId="issued1">
    <w:name w:val="issued1"/>
    <w:basedOn w:val="Normal"/>
    <w:rsid w:val="00F76E99"/>
    <w:pPr>
      <w:spacing w:after="0" w:line="240" w:lineRule="auto"/>
    </w:pPr>
    <w:rPr>
      <w:rFonts w:ascii="Lato" w:eastAsia="Times New Roman" w:hAnsi="Lato"/>
      <w:b/>
      <w:bCs/>
      <w:caps/>
      <w:color w:val="FFFFFF"/>
      <w:sz w:val="17"/>
      <w:szCs w:val="17"/>
      <w:lang w:eastAsia="en-AU"/>
    </w:rPr>
  </w:style>
  <w:style w:type="paragraph" w:customStyle="1" w:styleId="position2">
    <w:name w:val="position2"/>
    <w:basedOn w:val="Normal"/>
    <w:rsid w:val="00F76E99"/>
    <w:pPr>
      <w:spacing w:after="0" w:line="240" w:lineRule="auto"/>
    </w:pPr>
    <w:rPr>
      <w:rFonts w:ascii="Times New Roman" w:eastAsia="Times New Roman" w:hAnsi="Times New Roman"/>
      <w:vanish/>
      <w:color w:val="FFFFFF"/>
      <w:sz w:val="17"/>
      <w:szCs w:val="17"/>
      <w:lang w:eastAsia="en-AU"/>
    </w:rPr>
  </w:style>
  <w:style w:type="paragraph" w:styleId="TOCHeading">
    <w:name w:val="TOC Heading"/>
    <w:basedOn w:val="Heading1"/>
    <w:next w:val="Normal"/>
    <w:uiPriority w:val="39"/>
    <w:unhideWhenUsed/>
    <w:rsid w:val="000542FC"/>
    <w:pPr>
      <w:keepNext/>
      <w:keepLines/>
      <w:spacing w:before="240" w:after="0" w:line="259" w:lineRule="auto"/>
      <w:outlineLvl w:val="9"/>
    </w:pPr>
    <w:rPr>
      <w:rFonts w:asciiTheme="majorHAnsi" w:eastAsiaTheme="majorEastAsia" w:hAnsiTheme="majorHAnsi" w:cstheme="majorBidi"/>
      <w:color w:val="365F91" w:themeColor="accent1" w:themeShade="BF"/>
      <w:lang w:val="en-US"/>
    </w:rPr>
  </w:style>
  <w:style w:type="paragraph" w:styleId="TOC2">
    <w:name w:val="toc 2"/>
    <w:basedOn w:val="Normal"/>
    <w:next w:val="Normal"/>
    <w:autoRedefine/>
    <w:uiPriority w:val="39"/>
    <w:unhideWhenUsed/>
    <w:rsid w:val="000542FC"/>
    <w:pPr>
      <w:spacing w:before="120"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0542FC"/>
    <w:pPr>
      <w:spacing w:after="0"/>
      <w:ind w:left="480"/>
    </w:pPr>
    <w:rPr>
      <w:rFonts w:asciiTheme="minorHAnsi" w:hAnsiTheme="minorHAnsi" w:cstheme="minorHAnsi"/>
      <w:sz w:val="20"/>
      <w:szCs w:val="20"/>
    </w:rPr>
  </w:style>
  <w:style w:type="paragraph" w:styleId="TOC1">
    <w:name w:val="toc 1"/>
    <w:basedOn w:val="Normal"/>
    <w:next w:val="Normal"/>
    <w:autoRedefine/>
    <w:uiPriority w:val="39"/>
    <w:unhideWhenUsed/>
    <w:rsid w:val="00963B38"/>
    <w:pPr>
      <w:spacing w:before="240" w:after="120"/>
    </w:pPr>
    <w:rPr>
      <w:rFonts w:asciiTheme="minorHAnsi" w:hAnsiTheme="minorHAnsi" w:cstheme="minorHAnsi"/>
      <w:b/>
      <w:bCs/>
      <w:szCs w:val="20"/>
    </w:rPr>
  </w:style>
  <w:style w:type="paragraph" w:customStyle="1" w:styleId="Body">
    <w:name w:val="Body"/>
    <w:basedOn w:val="Normal"/>
    <w:rsid w:val="00D2158E"/>
    <w:rPr>
      <w:color w:val="000000"/>
      <w:sz w:val="22"/>
      <w:szCs w:val="22"/>
      <w:lang w:eastAsia="en-AU"/>
    </w:rPr>
  </w:style>
  <w:style w:type="character" w:styleId="CommentReference">
    <w:name w:val="annotation reference"/>
    <w:basedOn w:val="DefaultParagraphFont"/>
    <w:uiPriority w:val="99"/>
    <w:semiHidden/>
    <w:unhideWhenUsed/>
    <w:rsid w:val="00CD735B"/>
    <w:rPr>
      <w:sz w:val="16"/>
      <w:szCs w:val="16"/>
    </w:rPr>
  </w:style>
  <w:style w:type="paragraph" w:styleId="CommentText">
    <w:name w:val="annotation text"/>
    <w:basedOn w:val="Normal"/>
    <w:link w:val="CommentTextChar"/>
    <w:uiPriority w:val="99"/>
    <w:unhideWhenUsed/>
    <w:rsid w:val="00CD735B"/>
    <w:pPr>
      <w:spacing w:line="240" w:lineRule="auto"/>
    </w:pPr>
  </w:style>
  <w:style w:type="character" w:customStyle="1" w:styleId="CommentTextChar">
    <w:name w:val="Comment Text Char"/>
    <w:basedOn w:val="DefaultParagraphFont"/>
    <w:link w:val="CommentText"/>
    <w:uiPriority w:val="99"/>
    <w:rsid w:val="00CD735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735B"/>
    <w:rPr>
      <w:b/>
      <w:bCs/>
    </w:rPr>
  </w:style>
  <w:style w:type="character" w:customStyle="1" w:styleId="CommentSubjectChar">
    <w:name w:val="Comment Subject Char"/>
    <w:basedOn w:val="CommentTextChar"/>
    <w:link w:val="CommentSubject"/>
    <w:uiPriority w:val="99"/>
    <w:semiHidden/>
    <w:rsid w:val="00CD735B"/>
    <w:rPr>
      <w:rFonts w:ascii="Arial" w:hAnsi="Arial" w:cs="Arial"/>
      <w:b/>
      <w:bCs/>
      <w:sz w:val="20"/>
      <w:szCs w:val="20"/>
    </w:rPr>
  </w:style>
  <w:style w:type="character" w:customStyle="1" w:styleId="apple-converted-space">
    <w:name w:val="apple-converted-space"/>
    <w:basedOn w:val="DefaultParagraphFont"/>
    <w:rsid w:val="001E279C"/>
  </w:style>
  <w:style w:type="character" w:customStyle="1" w:styleId="HelpText">
    <w:name w:val="Help Text"/>
    <w:semiHidden/>
    <w:rsid w:val="00AD7BC5"/>
    <w:rPr>
      <w:color w:val="808080"/>
    </w:rPr>
  </w:style>
  <w:style w:type="paragraph" w:customStyle="1" w:styleId="NumberList">
    <w:name w:val="Number List"/>
    <w:basedOn w:val="Normal"/>
    <w:rsid w:val="00AD7BC5"/>
    <w:pPr>
      <w:numPr>
        <w:numId w:val="1"/>
      </w:numPr>
      <w:tabs>
        <w:tab w:val="left" w:pos="1985"/>
      </w:tabs>
      <w:spacing w:before="240" w:after="0" w:line="240" w:lineRule="atLeast"/>
    </w:pPr>
    <w:rPr>
      <w:rFonts w:ascii="Times New Roman" w:eastAsia="Times New Roman" w:hAnsi="Times New Roman"/>
    </w:rPr>
  </w:style>
  <w:style w:type="paragraph" w:customStyle="1" w:styleId="NumberListSub">
    <w:name w:val="Number List Sub"/>
    <w:basedOn w:val="NumberList"/>
    <w:rsid w:val="00AD7BC5"/>
    <w:pPr>
      <w:numPr>
        <w:ilvl w:val="1"/>
      </w:numPr>
      <w:tabs>
        <w:tab w:val="left" w:pos="2552"/>
      </w:tabs>
    </w:pPr>
  </w:style>
  <w:style w:type="table" w:customStyle="1" w:styleId="LightList-Accent12">
    <w:name w:val="Light List - Accent 12"/>
    <w:basedOn w:val="TableNormal"/>
    <w:uiPriority w:val="61"/>
    <w:rsid w:val="00C82E5E"/>
    <w:pPr>
      <w:spacing w:after="0" w:line="240" w:lineRule="auto"/>
    </w:pPr>
    <w:rPr>
      <w:rFonts w:ascii="Times New Roman" w:eastAsia="Calibri" w:hAnsi="Times New Roman" w:cs="Times New Roman"/>
      <w:sz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C82E5E"/>
    <w:pPr>
      <w:spacing w:after="0" w:line="240" w:lineRule="auto"/>
    </w:pPr>
    <w:rPr>
      <w:rFonts w:ascii="Times New Roman" w:eastAsia="Calibri" w:hAnsi="Times New Roman" w:cs="Times New Roman"/>
      <w:sz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itle">
    <w:name w:val="Subtitle"/>
    <w:next w:val="Normal"/>
    <w:link w:val="SubtitleChar"/>
    <w:uiPriority w:val="11"/>
    <w:qFormat/>
    <w:rsid w:val="00B71162"/>
    <w:pPr>
      <w:suppressAutoHyphens/>
      <w:autoSpaceDE w:val="0"/>
      <w:autoSpaceDN w:val="0"/>
      <w:adjustRightInd w:val="0"/>
      <w:spacing w:before="240" w:after="240" w:line="288" w:lineRule="auto"/>
      <w:ind w:left="567"/>
      <w:textAlignment w:val="center"/>
    </w:pPr>
    <w:rPr>
      <w:rFonts w:ascii="Georgia" w:eastAsia="MS Gothic" w:hAnsi="Georgia" w:cs="Times New Roman"/>
      <w:i/>
      <w:color w:val="17365D"/>
      <w:spacing w:val="5"/>
      <w:kern w:val="28"/>
      <w:sz w:val="44"/>
      <w:szCs w:val="44"/>
    </w:rPr>
  </w:style>
  <w:style w:type="character" w:customStyle="1" w:styleId="SubtitleChar">
    <w:name w:val="Subtitle Char"/>
    <w:basedOn w:val="DefaultParagraphFont"/>
    <w:link w:val="Subtitle"/>
    <w:uiPriority w:val="11"/>
    <w:rsid w:val="00B71162"/>
    <w:rPr>
      <w:rFonts w:ascii="Georgia" w:eastAsia="MS Gothic" w:hAnsi="Georgia" w:cs="Times New Roman"/>
      <w:i/>
      <w:color w:val="17365D"/>
      <w:spacing w:val="5"/>
      <w:kern w:val="28"/>
      <w:sz w:val="44"/>
      <w:szCs w:val="44"/>
    </w:rPr>
  </w:style>
  <w:style w:type="table" w:styleId="GridTable7Colorful-Accent2">
    <w:name w:val="Grid Table 7 Colorful Accent 2"/>
    <w:basedOn w:val="TableNormal"/>
    <w:uiPriority w:val="52"/>
    <w:rsid w:val="00712B8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Caption">
    <w:name w:val="caption"/>
    <w:basedOn w:val="Normal"/>
    <w:next w:val="Normal"/>
    <w:uiPriority w:val="35"/>
    <w:unhideWhenUsed/>
    <w:qFormat/>
    <w:rsid w:val="004C1862"/>
    <w:pPr>
      <w:spacing w:line="240" w:lineRule="auto"/>
    </w:pPr>
    <w:rPr>
      <w:i/>
      <w:iCs/>
      <w:color w:val="1F497D" w:themeColor="text2"/>
      <w:szCs w:val="18"/>
    </w:rPr>
  </w:style>
  <w:style w:type="paragraph" w:customStyle="1" w:styleId="HeaderFOUO">
    <w:name w:val="Header FOUO"/>
    <w:next w:val="Normal"/>
    <w:link w:val="HeaderFOUOChar"/>
    <w:rsid w:val="00DF52F5"/>
    <w:pPr>
      <w:spacing w:after="0" w:line="240" w:lineRule="auto"/>
      <w:jc w:val="center"/>
    </w:pPr>
    <w:rPr>
      <w:rFonts w:ascii="Arial" w:hAnsi="Arial" w:cs="Arial"/>
      <w:b/>
      <w:color w:val="FF0000"/>
      <w:sz w:val="24"/>
      <w:szCs w:val="24"/>
    </w:rPr>
  </w:style>
  <w:style w:type="paragraph" w:customStyle="1" w:styleId="Subtitle2">
    <w:name w:val="Subtitle 2"/>
    <w:next w:val="Normal"/>
    <w:link w:val="Subtitle2Char"/>
    <w:rsid w:val="00562895"/>
    <w:pPr>
      <w:keepNext/>
      <w:keepLines/>
      <w:suppressAutoHyphens/>
      <w:autoSpaceDE w:val="0"/>
      <w:autoSpaceDN w:val="0"/>
      <w:adjustRightInd w:val="0"/>
      <w:spacing w:before="480" w:after="360" w:line="380" w:lineRule="atLeast"/>
      <w:ind w:left="567"/>
      <w:textAlignment w:val="center"/>
      <w:outlineLvl w:val="1"/>
    </w:pPr>
    <w:rPr>
      <w:rFonts w:ascii="Arial" w:eastAsia="Calibri" w:hAnsi="Arial" w:cs="Arial"/>
      <w:color w:val="1F497D"/>
      <w:spacing w:val="2"/>
      <w:sz w:val="44"/>
      <w:szCs w:val="44"/>
      <w:u w:color="548DD4"/>
    </w:rPr>
  </w:style>
  <w:style w:type="character" w:customStyle="1" w:styleId="HeaderFOUOChar">
    <w:name w:val="Header FOUO Char"/>
    <w:basedOn w:val="FooterChar"/>
    <w:link w:val="HeaderFOUO"/>
    <w:rsid w:val="00DF52F5"/>
    <w:rPr>
      <w:rFonts w:ascii="Arial" w:hAnsi="Arial" w:cs="Arial"/>
      <w:b/>
      <w:color w:val="FF0000"/>
      <w:sz w:val="24"/>
      <w:szCs w:val="24"/>
    </w:rPr>
  </w:style>
  <w:style w:type="paragraph" w:customStyle="1" w:styleId="Subtitle3">
    <w:name w:val="Subtitle 3"/>
    <w:next w:val="Normal"/>
    <w:link w:val="Subtitle3Char"/>
    <w:rsid w:val="00562895"/>
    <w:pPr>
      <w:keepNext/>
      <w:keepLines/>
      <w:suppressAutoHyphens/>
      <w:autoSpaceDE w:val="0"/>
      <w:autoSpaceDN w:val="0"/>
      <w:adjustRightInd w:val="0"/>
      <w:spacing w:before="240" w:after="240" w:line="240" w:lineRule="auto"/>
      <w:ind w:left="567"/>
      <w:textAlignment w:val="center"/>
      <w:outlineLvl w:val="1"/>
    </w:pPr>
    <w:rPr>
      <w:rFonts w:ascii="Arial" w:eastAsia="Calibri" w:hAnsi="Arial" w:cs="Arial"/>
      <w:i/>
      <w:color w:val="1F497D"/>
      <w:spacing w:val="2"/>
      <w:sz w:val="28"/>
      <w:szCs w:val="28"/>
      <w:u w:color="548DD4"/>
    </w:rPr>
  </w:style>
  <w:style w:type="character" w:customStyle="1" w:styleId="Subtitle2Char">
    <w:name w:val="Subtitle 2 Char"/>
    <w:basedOn w:val="DefaultParagraphFont"/>
    <w:link w:val="Subtitle2"/>
    <w:rsid w:val="00562895"/>
    <w:rPr>
      <w:rFonts w:ascii="Arial" w:eastAsia="Calibri" w:hAnsi="Arial" w:cs="Arial"/>
      <w:color w:val="1F497D"/>
      <w:spacing w:val="2"/>
      <w:sz w:val="44"/>
      <w:szCs w:val="44"/>
      <w:u w:color="548DD4"/>
    </w:rPr>
  </w:style>
  <w:style w:type="paragraph" w:customStyle="1" w:styleId="PageNo">
    <w:name w:val="Page No."/>
    <w:next w:val="Normal"/>
    <w:link w:val="PageNoChar"/>
    <w:rsid w:val="00DF52F5"/>
    <w:pPr>
      <w:spacing w:after="0" w:line="240" w:lineRule="auto"/>
      <w:jc w:val="right"/>
    </w:pPr>
    <w:rPr>
      <w:rFonts w:ascii="Arial" w:hAnsi="Arial" w:cs="Arial"/>
      <w:color w:val="7F7F7F" w:themeColor="text1" w:themeTint="80"/>
      <w:sz w:val="16"/>
      <w:szCs w:val="16"/>
    </w:rPr>
  </w:style>
  <w:style w:type="character" w:customStyle="1" w:styleId="Subtitle3Char">
    <w:name w:val="Subtitle 3 Char"/>
    <w:basedOn w:val="DefaultParagraphFont"/>
    <w:link w:val="Subtitle3"/>
    <w:rsid w:val="00562895"/>
    <w:rPr>
      <w:rFonts w:ascii="Arial" w:eastAsia="Calibri" w:hAnsi="Arial" w:cs="Arial"/>
      <w:i/>
      <w:color w:val="1F497D"/>
      <w:spacing w:val="2"/>
      <w:sz w:val="28"/>
      <w:szCs w:val="28"/>
      <w:u w:color="548DD4"/>
    </w:rPr>
  </w:style>
  <w:style w:type="character" w:customStyle="1" w:styleId="lrdctmorebtn">
    <w:name w:val="lr_dct_more_btn"/>
    <w:basedOn w:val="DefaultParagraphFont"/>
    <w:rsid w:val="00AC6709"/>
  </w:style>
  <w:style w:type="character" w:customStyle="1" w:styleId="PageNoChar">
    <w:name w:val="Page No. Char"/>
    <w:basedOn w:val="FooterChar"/>
    <w:link w:val="PageNo"/>
    <w:rsid w:val="00DF52F5"/>
    <w:rPr>
      <w:rFonts w:ascii="Arial" w:hAnsi="Arial" w:cs="Arial"/>
      <w:color w:val="7F7F7F" w:themeColor="text1" w:themeTint="80"/>
      <w:sz w:val="16"/>
      <w:szCs w:val="16"/>
    </w:rPr>
  </w:style>
  <w:style w:type="paragraph" w:customStyle="1" w:styleId="Guidance">
    <w:name w:val="Guidance"/>
    <w:basedOn w:val="Normal"/>
    <w:link w:val="GuidanceChar"/>
    <w:qFormat/>
    <w:rsid w:val="006C63A9"/>
    <w:rPr>
      <w:i/>
      <w:color w:val="FF0000"/>
    </w:rPr>
  </w:style>
  <w:style w:type="character" w:customStyle="1" w:styleId="GuidanceChar">
    <w:name w:val="Guidance Char"/>
    <w:basedOn w:val="DefaultParagraphFont"/>
    <w:link w:val="Guidance"/>
    <w:rsid w:val="006C63A9"/>
    <w:rPr>
      <w:rFonts w:ascii="Calibri" w:eastAsia="Calibri" w:hAnsi="Calibri" w:cs="Times New Roman"/>
      <w:i/>
      <w:color w:val="FF0000"/>
      <w:sz w:val="24"/>
      <w:szCs w:val="24"/>
    </w:rPr>
  </w:style>
  <w:style w:type="paragraph" w:customStyle="1" w:styleId="BreakoutBoxHeading">
    <w:name w:val="Breakout Box Heading"/>
    <w:basedOn w:val="Header"/>
    <w:link w:val="BreakoutBoxHeadingChar"/>
    <w:qFormat/>
    <w:rsid w:val="00C50A90"/>
    <w:pPr>
      <w:shd w:val="clear" w:color="auto" w:fill="EEECE1" w:themeFill="background2"/>
      <w:tabs>
        <w:tab w:val="clear" w:pos="9026"/>
        <w:tab w:val="right" w:pos="284"/>
      </w:tabs>
      <w:spacing w:after="200" w:line="276" w:lineRule="auto"/>
      <w:ind w:left="284" w:right="237"/>
    </w:pPr>
    <w:rPr>
      <w:rFonts w:asciiTheme="minorHAnsi" w:hAnsiTheme="minorHAnsi"/>
      <w:b/>
      <w:i/>
      <w:color w:val="1F497D" w:themeColor="text2"/>
      <w:sz w:val="28"/>
      <w:szCs w:val="28"/>
    </w:rPr>
  </w:style>
  <w:style w:type="paragraph" w:customStyle="1" w:styleId="BreakoutBoxText">
    <w:name w:val="Breakout Box Text"/>
    <w:basedOn w:val="Header"/>
    <w:link w:val="BreakoutBoxTextChar"/>
    <w:qFormat/>
    <w:rsid w:val="00C50A90"/>
    <w:pPr>
      <w:shd w:val="clear" w:color="auto" w:fill="EEECE1" w:themeFill="background2"/>
      <w:tabs>
        <w:tab w:val="clear" w:pos="9026"/>
        <w:tab w:val="right" w:pos="284"/>
      </w:tabs>
      <w:spacing w:after="200" w:line="276" w:lineRule="auto"/>
      <w:ind w:left="284" w:right="237"/>
    </w:pPr>
    <w:rPr>
      <w:rFonts w:asciiTheme="minorHAnsi" w:hAnsiTheme="minorHAnsi"/>
      <w:color w:val="1F497D" w:themeColor="text2"/>
    </w:rPr>
  </w:style>
  <w:style w:type="character" w:customStyle="1" w:styleId="BreakoutBoxHeadingChar">
    <w:name w:val="Breakout Box Heading Char"/>
    <w:basedOn w:val="HeaderChar"/>
    <w:link w:val="BreakoutBoxHeading"/>
    <w:rsid w:val="00C50A90"/>
    <w:rPr>
      <w:rFonts w:eastAsia="Calibri" w:cs="Times New Roman"/>
      <w:b/>
      <w:i/>
      <w:color w:val="1F497D" w:themeColor="text2"/>
      <w:sz w:val="28"/>
      <w:szCs w:val="28"/>
      <w:shd w:val="clear" w:color="auto" w:fill="EEECE1" w:themeFill="background2"/>
    </w:rPr>
  </w:style>
  <w:style w:type="character" w:customStyle="1" w:styleId="BreakoutBoxTextChar">
    <w:name w:val="Breakout Box Text Char"/>
    <w:basedOn w:val="HeaderChar"/>
    <w:link w:val="BreakoutBoxText"/>
    <w:rsid w:val="00C50A90"/>
    <w:rPr>
      <w:rFonts w:eastAsia="Calibri" w:cs="Times New Roman"/>
      <w:color w:val="1F497D" w:themeColor="text2"/>
      <w:sz w:val="24"/>
      <w:szCs w:val="24"/>
      <w:shd w:val="clear" w:color="auto" w:fill="EEECE1" w:themeFill="background2"/>
    </w:rPr>
  </w:style>
  <w:style w:type="paragraph" w:customStyle="1" w:styleId="Header-Attachment">
    <w:name w:val="Header - Attachment"/>
    <w:basedOn w:val="Heading1"/>
    <w:link w:val="Header-AttachmentChar"/>
    <w:qFormat/>
    <w:rsid w:val="009F4E66"/>
    <w:pPr>
      <w:pageBreakBefore/>
      <w:jc w:val="right"/>
    </w:pPr>
    <w:rPr>
      <w:caps/>
    </w:rPr>
  </w:style>
  <w:style w:type="character" w:customStyle="1" w:styleId="Header-AttachmentChar">
    <w:name w:val="Header - Attachment Char"/>
    <w:basedOn w:val="Heading1Char"/>
    <w:link w:val="Header-Attachment"/>
    <w:rsid w:val="009F4E66"/>
    <w:rPr>
      <w:rFonts w:ascii="Arial" w:eastAsia="Calibri" w:hAnsi="Arial" w:cs="Arial"/>
      <w:caps/>
      <w:color w:val="1F497D"/>
      <w:sz w:val="32"/>
      <w:szCs w:val="32"/>
    </w:rPr>
  </w:style>
  <w:style w:type="table" w:customStyle="1" w:styleId="Table-Style3">
    <w:name w:val="Table-Style3"/>
    <w:basedOn w:val="TableNormal"/>
    <w:rsid w:val="00A27052"/>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3">
    <w:name w:val="Table-Style33"/>
    <w:basedOn w:val="TableNormal"/>
    <w:rsid w:val="00A27052"/>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ulletDot">
    <w:name w:val="Bullet Dot"/>
    <w:basedOn w:val="Normal"/>
    <w:link w:val="BulletDotChar"/>
    <w:qFormat/>
    <w:rsid w:val="00A27052"/>
    <w:pPr>
      <w:numPr>
        <w:numId w:val="2"/>
      </w:numPr>
      <w:suppressAutoHyphens/>
      <w:autoSpaceDE w:val="0"/>
      <w:autoSpaceDN w:val="0"/>
      <w:adjustRightInd w:val="0"/>
      <w:spacing w:after="50" w:line="280" w:lineRule="atLeast"/>
      <w:textAlignment w:val="center"/>
    </w:pPr>
    <w:rPr>
      <w:rFonts w:ascii="Arial" w:eastAsiaTheme="minorHAnsi" w:hAnsi="Arial" w:cs="FranklinGothic-Book"/>
      <w:color w:val="000000"/>
      <w:sz w:val="22"/>
      <w:szCs w:val="22"/>
    </w:rPr>
  </w:style>
  <w:style w:type="paragraph" w:customStyle="1" w:styleId="InputHeadingStyle1">
    <w:name w:val="Input Heading Style 1"/>
    <w:basedOn w:val="Normal"/>
    <w:rsid w:val="00A27052"/>
    <w:pPr>
      <w:spacing w:after="0" w:line="240" w:lineRule="auto"/>
      <w:outlineLvl w:val="0"/>
    </w:pPr>
    <w:rPr>
      <w:rFonts w:ascii="Arial" w:eastAsia="Times New Roman" w:hAnsi="Arial"/>
      <w:b/>
      <w:sz w:val="22"/>
      <w:szCs w:val="20"/>
      <w:lang w:eastAsia="en-AU"/>
    </w:rPr>
  </w:style>
  <w:style w:type="paragraph" w:customStyle="1" w:styleId="PPHeading1">
    <w:name w:val="PP Heading 1"/>
    <w:basedOn w:val="Heading2"/>
    <w:link w:val="PPHeading1Char"/>
    <w:qFormat/>
    <w:rsid w:val="00FB6CF6"/>
    <w:pPr>
      <w:keepNext/>
      <w:keepLines/>
      <w:tabs>
        <w:tab w:val="left" w:pos="794"/>
        <w:tab w:val="left" w:pos="1020"/>
      </w:tabs>
      <w:suppressAutoHyphens/>
      <w:autoSpaceDE w:val="0"/>
      <w:autoSpaceDN w:val="0"/>
      <w:adjustRightInd w:val="0"/>
      <w:spacing w:before="400" w:after="240" w:line="240" w:lineRule="auto"/>
      <w:textAlignment w:val="center"/>
    </w:pPr>
    <w:rPr>
      <w:rFonts w:ascii="Arial" w:eastAsiaTheme="minorHAnsi" w:hAnsi="Arial" w:cs="Arial"/>
      <w:b/>
      <w:color w:val="4E84C4"/>
      <w:spacing w:val="2"/>
      <w:u w:color="548DD4" w:themeColor="text2" w:themeTint="99"/>
    </w:rPr>
  </w:style>
  <w:style w:type="paragraph" w:customStyle="1" w:styleId="Numberedheading5">
    <w:name w:val="Numbered heading 5"/>
    <w:basedOn w:val="Normal"/>
    <w:qFormat/>
    <w:rsid w:val="00C276E6"/>
    <w:pPr>
      <w:keepNext/>
      <w:keepLines/>
      <w:numPr>
        <w:ilvl w:val="4"/>
      </w:numPr>
      <w:tabs>
        <w:tab w:val="left" w:pos="1418"/>
        <w:tab w:val="left" w:pos="1985"/>
      </w:tabs>
      <w:spacing w:before="240" w:after="120" w:line="240" w:lineRule="auto"/>
      <w:outlineLvl w:val="0"/>
    </w:pPr>
    <w:rPr>
      <w:rFonts w:ascii="Arial" w:eastAsia="Times New Roman" w:hAnsi="Arial" w:cs="FranklinGothic-BookCnd"/>
      <w:color w:val="4F81BD" w:themeColor="accent1"/>
      <w:spacing w:val="1"/>
      <w:sz w:val="22"/>
      <w:szCs w:val="22"/>
    </w:rPr>
  </w:style>
  <w:style w:type="character" w:customStyle="1" w:styleId="BulletDotChar">
    <w:name w:val="Bullet Dot Char"/>
    <w:basedOn w:val="DefaultParagraphFont"/>
    <w:link w:val="BulletDot"/>
    <w:rsid w:val="00C276E6"/>
    <w:rPr>
      <w:rFonts w:ascii="Arial" w:hAnsi="Arial" w:cs="FranklinGothic-Book"/>
      <w:color w:val="000000"/>
    </w:rPr>
  </w:style>
  <w:style w:type="paragraph" w:customStyle="1" w:styleId="BodyTextLevel1">
    <w:name w:val="Body Text Level 1"/>
    <w:basedOn w:val="Normal"/>
    <w:link w:val="BodyTextLevel1Char"/>
    <w:rsid w:val="00C276E6"/>
    <w:pPr>
      <w:spacing w:after="0" w:line="240" w:lineRule="auto"/>
    </w:pPr>
    <w:rPr>
      <w:rFonts w:ascii="Arial" w:eastAsia="Times New Roman" w:hAnsi="Arial"/>
      <w:sz w:val="22"/>
      <w:szCs w:val="20"/>
      <w:lang w:eastAsia="en-AU"/>
    </w:rPr>
  </w:style>
  <w:style w:type="character" w:customStyle="1" w:styleId="BodyTextLevel1Char">
    <w:name w:val="Body Text Level 1 Char"/>
    <w:basedOn w:val="DefaultParagraphFont"/>
    <w:link w:val="BodyTextLevel1"/>
    <w:rsid w:val="00C276E6"/>
    <w:rPr>
      <w:rFonts w:ascii="Arial" w:eastAsia="Times New Roman" w:hAnsi="Arial" w:cs="Times New Roman"/>
      <w:szCs w:val="20"/>
      <w:lang w:eastAsia="en-AU"/>
    </w:rPr>
  </w:style>
  <w:style w:type="paragraph" w:customStyle="1" w:styleId="Smalltextinverso">
    <w:name w:val="Small text in verso"/>
    <w:basedOn w:val="Normal"/>
    <w:link w:val="SmalltextinversoChar"/>
    <w:qFormat/>
    <w:rsid w:val="00036530"/>
    <w:pPr>
      <w:suppressAutoHyphens/>
      <w:autoSpaceDE w:val="0"/>
      <w:autoSpaceDN w:val="0"/>
      <w:adjustRightInd w:val="0"/>
      <w:spacing w:after="113" w:line="220" w:lineRule="atLeast"/>
      <w:textAlignment w:val="center"/>
    </w:pPr>
    <w:rPr>
      <w:rFonts w:ascii="Arial" w:eastAsiaTheme="minorHAnsi" w:hAnsi="Arial" w:cs="FranklinGothic-Book"/>
      <w:color w:val="000000"/>
      <w:sz w:val="16"/>
      <w:szCs w:val="16"/>
      <w:lang w:val="en-GB"/>
    </w:rPr>
  </w:style>
  <w:style w:type="character" w:customStyle="1" w:styleId="SmalltextinversoChar">
    <w:name w:val="Small text in verso Char"/>
    <w:basedOn w:val="DefaultParagraphFont"/>
    <w:link w:val="Smalltextinverso"/>
    <w:rsid w:val="00036530"/>
    <w:rPr>
      <w:rFonts w:ascii="Arial" w:hAnsi="Arial" w:cs="FranklinGothic-Book"/>
      <w:color w:val="000000"/>
      <w:sz w:val="16"/>
      <w:szCs w:val="16"/>
      <w:lang w:val="en-GB"/>
    </w:rPr>
  </w:style>
  <w:style w:type="paragraph" w:customStyle="1" w:styleId="PPhdg1">
    <w:name w:val="PP hdg 1"/>
    <w:basedOn w:val="PPHeading1"/>
    <w:link w:val="PPhdg1Char"/>
    <w:qFormat/>
    <w:rsid w:val="00B45009"/>
    <w:pPr>
      <w:numPr>
        <w:numId w:val="4"/>
      </w:numPr>
    </w:pPr>
    <w:rPr>
      <w:rFonts w:asciiTheme="minorHAnsi" w:hAnsiTheme="minorHAnsi"/>
      <w:sz w:val="36"/>
    </w:rPr>
  </w:style>
  <w:style w:type="paragraph" w:customStyle="1" w:styleId="PPhdg2">
    <w:name w:val="PP hdg 2"/>
    <w:basedOn w:val="Heading2"/>
    <w:link w:val="PPhdg2Char"/>
    <w:qFormat/>
    <w:rsid w:val="00760E62"/>
    <w:pPr>
      <w:spacing w:before="240" w:line="240" w:lineRule="auto"/>
    </w:pPr>
  </w:style>
  <w:style w:type="character" w:customStyle="1" w:styleId="PPHeading1Char">
    <w:name w:val="PP Heading 1 Char"/>
    <w:basedOn w:val="Heading2Char"/>
    <w:link w:val="PPHeading1"/>
    <w:rsid w:val="0068651C"/>
    <w:rPr>
      <w:rFonts w:ascii="Arial" w:hAnsi="Arial" w:cs="Arial"/>
      <w:b/>
      <w:color w:val="4E84C4"/>
      <w:spacing w:val="2"/>
      <w:sz w:val="28"/>
      <w:szCs w:val="28"/>
      <w:u w:color="548DD4" w:themeColor="text2" w:themeTint="99"/>
    </w:rPr>
  </w:style>
  <w:style w:type="character" w:customStyle="1" w:styleId="PPhdg1Char">
    <w:name w:val="PP hdg 1 Char"/>
    <w:basedOn w:val="PPHeading1Char"/>
    <w:link w:val="PPhdg1"/>
    <w:rsid w:val="00B45009"/>
    <w:rPr>
      <w:rFonts w:ascii="Arial" w:hAnsi="Arial" w:cs="Arial"/>
      <w:b/>
      <w:color w:val="4E84C4"/>
      <w:spacing w:val="2"/>
      <w:sz w:val="36"/>
      <w:szCs w:val="28"/>
      <w:u w:color="548DD4" w:themeColor="text2" w:themeTint="99"/>
    </w:rPr>
  </w:style>
  <w:style w:type="paragraph" w:styleId="TOC4">
    <w:name w:val="toc 4"/>
    <w:basedOn w:val="Normal"/>
    <w:next w:val="Normal"/>
    <w:autoRedefine/>
    <w:uiPriority w:val="39"/>
    <w:unhideWhenUsed/>
    <w:rsid w:val="00CB1876"/>
    <w:pPr>
      <w:spacing w:after="0"/>
      <w:ind w:left="720"/>
    </w:pPr>
    <w:rPr>
      <w:rFonts w:asciiTheme="minorHAnsi" w:hAnsiTheme="minorHAnsi" w:cstheme="minorHAnsi"/>
      <w:sz w:val="20"/>
      <w:szCs w:val="20"/>
    </w:rPr>
  </w:style>
  <w:style w:type="character" w:customStyle="1" w:styleId="PPhdg2Char">
    <w:name w:val="PP hdg 2 Char"/>
    <w:basedOn w:val="Heading2Char"/>
    <w:link w:val="PPhdg2"/>
    <w:rsid w:val="00760E62"/>
    <w:rPr>
      <w:rFonts w:ascii="Calibri" w:eastAsia="Calibri" w:hAnsi="Calibri" w:cs="Times New Roman"/>
      <w:color w:val="4F81BD" w:themeColor="accent1"/>
      <w:sz w:val="28"/>
      <w:szCs w:val="28"/>
    </w:rPr>
  </w:style>
  <w:style w:type="paragraph" w:styleId="TOC5">
    <w:name w:val="toc 5"/>
    <w:basedOn w:val="Normal"/>
    <w:next w:val="Normal"/>
    <w:autoRedefine/>
    <w:uiPriority w:val="39"/>
    <w:unhideWhenUsed/>
    <w:rsid w:val="00CB1876"/>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B1876"/>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CB1876"/>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CB1876"/>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CB1876"/>
    <w:pPr>
      <w:spacing w:after="0"/>
      <w:ind w:left="1920"/>
    </w:pPr>
    <w:rPr>
      <w:rFonts w:asciiTheme="minorHAnsi" w:hAnsiTheme="minorHAnsi" w:cstheme="minorHAnsi"/>
      <w:sz w:val="20"/>
      <w:szCs w:val="20"/>
    </w:rPr>
  </w:style>
  <w:style w:type="paragraph" w:customStyle="1" w:styleId="Text">
    <w:name w:val="Text"/>
    <w:basedOn w:val="Normal"/>
    <w:link w:val="TextChar"/>
    <w:rsid w:val="007D75A8"/>
    <w:pPr>
      <w:spacing w:after="0" w:line="240" w:lineRule="auto"/>
    </w:pPr>
    <w:rPr>
      <w:rFonts w:ascii="Georgia" w:eastAsia="Times New Roman" w:hAnsi="Georgia" w:cs="Microsoft Sans Serif"/>
      <w:sz w:val="22"/>
      <w:szCs w:val="22"/>
      <w:lang w:eastAsia="en-AU"/>
    </w:rPr>
  </w:style>
  <w:style w:type="character" w:customStyle="1" w:styleId="TextChar">
    <w:name w:val="Text Char"/>
    <w:basedOn w:val="DefaultParagraphFont"/>
    <w:link w:val="Text"/>
    <w:rsid w:val="007D75A8"/>
    <w:rPr>
      <w:rFonts w:ascii="Georgia" w:eastAsia="Times New Roman" w:hAnsi="Georgia" w:cs="Microsoft Sans Seri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7104">
      <w:bodyDiv w:val="1"/>
      <w:marLeft w:val="0"/>
      <w:marRight w:val="0"/>
      <w:marTop w:val="0"/>
      <w:marBottom w:val="0"/>
      <w:divBdr>
        <w:top w:val="none" w:sz="0" w:space="0" w:color="auto"/>
        <w:left w:val="none" w:sz="0" w:space="0" w:color="auto"/>
        <w:bottom w:val="none" w:sz="0" w:space="0" w:color="auto"/>
        <w:right w:val="none" w:sz="0" w:space="0" w:color="auto"/>
      </w:divBdr>
      <w:divsChild>
        <w:div w:id="520319157">
          <w:marLeft w:val="0"/>
          <w:marRight w:val="0"/>
          <w:marTop w:val="0"/>
          <w:marBottom w:val="0"/>
          <w:divBdr>
            <w:top w:val="none" w:sz="0" w:space="0" w:color="auto"/>
            <w:left w:val="none" w:sz="0" w:space="0" w:color="auto"/>
            <w:bottom w:val="none" w:sz="0" w:space="0" w:color="auto"/>
            <w:right w:val="none" w:sz="0" w:space="0" w:color="auto"/>
          </w:divBdr>
          <w:divsChild>
            <w:div w:id="2065907490">
              <w:marLeft w:val="-300"/>
              <w:marRight w:val="0"/>
              <w:marTop w:val="0"/>
              <w:marBottom w:val="0"/>
              <w:divBdr>
                <w:top w:val="none" w:sz="0" w:space="0" w:color="auto"/>
                <w:left w:val="none" w:sz="0" w:space="0" w:color="auto"/>
                <w:bottom w:val="none" w:sz="0" w:space="0" w:color="auto"/>
                <w:right w:val="none" w:sz="0" w:space="0" w:color="auto"/>
              </w:divBdr>
              <w:divsChild>
                <w:div w:id="227611399">
                  <w:marLeft w:val="0"/>
                  <w:marRight w:val="0"/>
                  <w:marTop w:val="0"/>
                  <w:marBottom w:val="0"/>
                  <w:divBdr>
                    <w:top w:val="none" w:sz="0" w:space="0" w:color="auto"/>
                    <w:left w:val="none" w:sz="0" w:space="0" w:color="auto"/>
                    <w:bottom w:val="none" w:sz="0" w:space="0" w:color="auto"/>
                    <w:right w:val="none" w:sz="0" w:space="0" w:color="auto"/>
                  </w:divBdr>
                  <w:divsChild>
                    <w:div w:id="3556050">
                      <w:marLeft w:val="0"/>
                      <w:marRight w:val="0"/>
                      <w:marTop w:val="0"/>
                      <w:marBottom w:val="0"/>
                      <w:divBdr>
                        <w:top w:val="none" w:sz="0" w:space="0" w:color="auto"/>
                        <w:left w:val="none" w:sz="0" w:space="0" w:color="auto"/>
                        <w:bottom w:val="none" w:sz="0" w:space="0" w:color="auto"/>
                        <w:right w:val="none" w:sz="0" w:space="0" w:color="auto"/>
                      </w:divBdr>
                      <w:divsChild>
                        <w:div w:id="10889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89331">
      <w:bodyDiv w:val="1"/>
      <w:marLeft w:val="0"/>
      <w:marRight w:val="0"/>
      <w:marTop w:val="0"/>
      <w:marBottom w:val="0"/>
      <w:divBdr>
        <w:top w:val="none" w:sz="0" w:space="0" w:color="auto"/>
        <w:left w:val="none" w:sz="0" w:space="0" w:color="auto"/>
        <w:bottom w:val="none" w:sz="0" w:space="0" w:color="auto"/>
        <w:right w:val="none" w:sz="0" w:space="0" w:color="auto"/>
      </w:divBdr>
      <w:divsChild>
        <w:div w:id="1862552454">
          <w:marLeft w:val="547"/>
          <w:marRight w:val="0"/>
          <w:marTop w:val="0"/>
          <w:marBottom w:val="0"/>
          <w:divBdr>
            <w:top w:val="none" w:sz="0" w:space="0" w:color="auto"/>
            <w:left w:val="none" w:sz="0" w:space="0" w:color="auto"/>
            <w:bottom w:val="none" w:sz="0" w:space="0" w:color="auto"/>
            <w:right w:val="none" w:sz="0" w:space="0" w:color="auto"/>
          </w:divBdr>
        </w:div>
      </w:divsChild>
    </w:div>
    <w:div w:id="247233218">
      <w:bodyDiv w:val="1"/>
      <w:marLeft w:val="0"/>
      <w:marRight w:val="0"/>
      <w:marTop w:val="0"/>
      <w:marBottom w:val="0"/>
      <w:divBdr>
        <w:top w:val="none" w:sz="0" w:space="0" w:color="auto"/>
        <w:left w:val="none" w:sz="0" w:space="0" w:color="auto"/>
        <w:bottom w:val="none" w:sz="0" w:space="0" w:color="auto"/>
        <w:right w:val="none" w:sz="0" w:space="0" w:color="auto"/>
      </w:divBdr>
    </w:div>
    <w:div w:id="299387143">
      <w:bodyDiv w:val="1"/>
      <w:marLeft w:val="0"/>
      <w:marRight w:val="0"/>
      <w:marTop w:val="0"/>
      <w:marBottom w:val="0"/>
      <w:divBdr>
        <w:top w:val="none" w:sz="0" w:space="0" w:color="auto"/>
        <w:left w:val="none" w:sz="0" w:space="0" w:color="auto"/>
        <w:bottom w:val="none" w:sz="0" w:space="0" w:color="auto"/>
        <w:right w:val="none" w:sz="0" w:space="0" w:color="auto"/>
      </w:divBdr>
    </w:div>
    <w:div w:id="381682573">
      <w:bodyDiv w:val="1"/>
      <w:marLeft w:val="0"/>
      <w:marRight w:val="0"/>
      <w:marTop w:val="0"/>
      <w:marBottom w:val="0"/>
      <w:divBdr>
        <w:top w:val="none" w:sz="0" w:space="0" w:color="auto"/>
        <w:left w:val="none" w:sz="0" w:space="0" w:color="auto"/>
        <w:bottom w:val="none" w:sz="0" w:space="0" w:color="auto"/>
        <w:right w:val="none" w:sz="0" w:space="0" w:color="auto"/>
      </w:divBdr>
    </w:div>
    <w:div w:id="436485037">
      <w:bodyDiv w:val="1"/>
      <w:marLeft w:val="0"/>
      <w:marRight w:val="0"/>
      <w:marTop w:val="0"/>
      <w:marBottom w:val="0"/>
      <w:divBdr>
        <w:top w:val="none" w:sz="0" w:space="0" w:color="auto"/>
        <w:left w:val="none" w:sz="0" w:space="0" w:color="auto"/>
        <w:bottom w:val="none" w:sz="0" w:space="0" w:color="auto"/>
        <w:right w:val="none" w:sz="0" w:space="0" w:color="auto"/>
      </w:divBdr>
      <w:divsChild>
        <w:div w:id="97651650">
          <w:marLeft w:val="300"/>
          <w:marRight w:val="0"/>
          <w:marTop w:val="0"/>
          <w:marBottom w:val="0"/>
          <w:divBdr>
            <w:top w:val="none" w:sz="0" w:space="0" w:color="auto"/>
            <w:left w:val="none" w:sz="0" w:space="0" w:color="auto"/>
            <w:bottom w:val="none" w:sz="0" w:space="0" w:color="auto"/>
            <w:right w:val="none" w:sz="0" w:space="0" w:color="auto"/>
          </w:divBdr>
          <w:divsChild>
            <w:div w:id="1830751103">
              <w:marLeft w:val="0"/>
              <w:marRight w:val="0"/>
              <w:marTop w:val="0"/>
              <w:marBottom w:val="0"/>
              <w:divBdr>
                <w:top w:val="none" w:sz="0" w:space="0" w:color="auto"/>
                <w:left w:val="none" w:sz="0" w:space="0" w:color="auto"/>
                <w:bottom w:val="none" w:sz="0" w:space="0" w:color="auto"/>
                <w:right w:val="none" w:sz="0" w:space="0" w:color="auto"/>
              </w:divBdr>
              <w:divsChild>
                <w:div w:id="1523977511">
                  <w:marLeft w:val="0"/>
                  <w:marRight w:val="0"/>
                  <w:marTop w:val="0"/>
                  <w:marBottom w:val="0"/>
                  <w:divBdr>
                    <w:top w:val="none" w:sz="0" w:space="0" w:color="auto"/>
                    <w:left w:val="none" w:sz="0" w:space="0" w:color="auto"/>
                    <w:bottom w:val="none" w:sz="0" w:space="0" w:color="auto"/>
                    <w:right w:val="none" w:sz="0" w:space="0" w:color="auto"/>
                  </w:divBdr>
                </w:div>
                <w:div w:id="1354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96871">
      <w:bodyDiv w:val="1"/>
      <w:marLeft w:val="0"/>
      <w:marRight w:val="0"/>
      <w:marTop w:val="0"/>
      <w:marBottom w:val="0"/>
      <w:divBdr>
        <w:top w:val="none" w:sz="0" w:space="0" w:color="auto"/>
        <w:left w:val="none" w:sz="0" w:space="0" w:color="auto"/>
        <w:bottom w:val="none" w:sz="0" w:space="0" w:color="auto"/>
        <w:right w:val="none" w:sz="0" w:space="0" w:color="auto"/>
      </w:divBdr>
    </w:div>
    <w:div w:id="515534287">
      <w:bodyDiv w:val="1"/>
      <w:marLeft w:val="0"/>
      <w:marRight w:val="0"/>
      <w:marTop w:val="0"/>
      <w:marBottom w:val="0"/>
      <w:divBdr>
        <w:top w:val="none" w:sz="0" w:space="0" w:color="auto"/>
        <w:left w:val="none" w:sz="0" w:space="0" w:color="auto"/>
        <w:bottom w:val="none" w:sz="0" w:space="0" w:color="auto"/>
        <w:right w:val="none" w:sz="0" w:space="0" w:color="auto"/>
      </w:divBdr>
      <w:divsChild>
        <w:div w:id="2096969879">
          <w:marLeft w:val="547"/>
          <w:marRight w:val="0"/>
          <w:marTop w:val="0"/>
          <w:marBottom w:val="0"/>
          <w:divBdr>
            <w:top w:val="none" w:sz="0" w:space="0" w:color="auto"/>
            <w:left w:val="none" w:sz="0" w:space="0" w:color="auto"/>
            <w:bottom w:val="none" w:sz="0" w:space="0" w:color="auto"/>
            <w:right w:val="none" w:sz="0" w:space="0" w:color="auto"/>
          </w:divBdr>
        </w:div>
        <w:div w:id="1801876035">
          <w:marLeft w:val="547"/>
          <w:marRight w:val="0"/>
          <w:marTop w:val="0"/>
          <w:marBottom w:val="0"/>
          <w:divBdr>
            <w:top w:val="none" w:sz="0" w:space="0" w:color="auto"/>
            <w:left w:val="none" w:sz="0" w:space="0" w:color="auto"/>
            <w:bottom w:val="none" w:sz="0" w:space="0" w:color="auto"/>
            <w:right w:val="none" w:sz="0" w:space="0" w:color="auto"/>
          </w:divBdr>
        </w:div>
        <w:div w:id="590550522">
          <w:marLeft w:val="547"/>
          <w:marRight w:val="0"/>
          <w:marTop w:val="0"/>
          <w:marBottom w:val="0"/>
          <w:divBdr>
            <w:top w:val="none" w:sz="0" w:space="0" w:color="auto"/>
            <w:left w:val="none" w:sz="0" w:space="0" w:color="auto"/>
            <w:bottom w:val="none" w:sz="0" w:space="0" w:color="auto"/>
            <w:right w:val="none" w:sz="0" w:space="0" w:color="auto"/>
          </w:divBdr>
        </w:div>
      </w:divsChild>
    </w:div>
    <w:div w:id="537552332">
      <w:bodyDiv w:val="1"/>
      <w:marLeft w:val="0"/>
      <w:marRight w:val="0"/>
      <w:marTop w:val="0"/>
      <w:marBottom w:val="0"/>
      <w:divBdr>
        <w:top w:val="none" w:sz="0" w:space="0" w:color="auto"/>
        <w:left w:val="none" w:sz="0" w:space="0" w:color="auto"/>
        <w:bottom w:val="none" w:sz="0" w:space="0" w:color="auto"/>
        <w:right w:val="none" w:sz="0" w:space="0" w:color="auto"/>
      </w:divBdr>
      <w:divsChild>
        <w:div w:id="802619423">
          <w:marLeft w:val="0"/>
          <w:marRight w:val="0"/>
          <w:marTop w:val="0"/>
          <w:marBottom w:val="0"/>
          <w:divBdr>
            <w:top w:val="none" w:sz="0" w:space="0" w:color="auto"/>
            <w:left w:val="none" w:sz="0" w:space="0" w:color="auto"/>
            <w:bottom w:val="none" w:sz="0" w:space="0" w:color="auto"/>
            <w:right w:val="none" w:sz="0" w:space="0" w:color="auto"/>
          </w:divBdr>
          <w:divsChild>
            <w:div w:id="92629895">
              <w:marLeft w:val="0"/>
              <w:marRight w:val="0"/>
              <w:marTop w:val="0"/>
              <w:marBottom w:val="0"/>
              <w:divBdr>
                <w:top w:val="none" w:sz="0" w:space="0" w:color="auto"/>
                <w:left w:val="none" w:sz="0" w:space="0" w:color="auto"/>
                <w:bottom w:val="none" w:sz="0" w:space="0" w:color="auto"/>
                <w:right w:val="none" w:sz="0" w:space="0" w:color="auto"/>
              </w:divBdr>
              <w:divsChild>
                <w:div w:id="1989699983">
                  <w:marLeft w:val="-360"/>
                  <w:marRight w:val="-360"/>
                  <w:marTop w:val="0"/>
                  <w:marBottom w:val="0"/>
                  <w:divBdr>
                    <w:top w:val="none" w:sz="0" w:space="0" w:color="auto"/>
                    <w:left w:val="single" w:sz="48" w:space="0" w:color="00AAD3"/>
                    <w:bottom w:val="none" w:sz="0" w:space="0" w:color="auto"/>
                    <w:right w:val="none" w:sz="0" w:space="0" w:color="auto"/>
                  </w:divBdr>
                  <w:divsChild>
                    <w:div w:id="17631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625283">
      <w:bodyDiv w:val="1"/>
      <w:marLeft w:val="0"/>
      <w:marRight w:val="0"/>
      <w:marTop w:val="0"/>
      <w:marBottom w:val="0"/>
      <w:divBdr>
        <w:top w:val="none" w:sz="0" w:space="0" w:color="auto"/>
        <w:left w:val="none" w:sz="0" w:space="0" w:color="auto"/>
        <w:bottom w:val="none" w:sz="0" w:space="0" w:color="auto"/>
        <w:right w:val="none" w:sz="0" w:space="0" w:color="auto"/>
      </w:divBdr>
      <w:divsChild>
        <w:div w:id="1707366424">
          <w:marLeft w:val="547"/>
          <w:marRight w:val="0"/>
          <w:marTop w:val="0"/>
          <w:marBottom w:val="0"/>
          <w:divBdr>
            <w:top w:val="none" w:sz="0" w:space="0" w:color="auto"/>
            <w:left w:val="none" w:sz="0" w:space="0" w:color="auto"/>
            <w:bottom w:val="none" w:sz="0" w:space="0" w:color="auto"/>
            <w:right w:val="none" w:sz="0" w:space="0" w:color="auto"/>
          </w:divBdr>
        </w:div>
      </w:divsChild>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886138063">
      <w:bodyDiv w:val="1"/>
      <w:marLeft w:val="0"/>
      <w:marRight w:val="0"/>
      <w:marTop w:val="0"/>
      <w:marBottom w:val="0"/>
      <w:divBdr>
        <w:top w:val="none" w:sz="0" w:space="0" w:color="auto"/>
        <w:left w:val="none" w:sz="0" w:space="0" w:color="auto"/>
        <w:bottom w:val="none" w:sz="0" w:space="0" w:color="auto"/>
        <w:right w:val="none" w:sz="0" w:space="0" w:color="auto"/>
      </w:divBdr>
    </w:div>
    <w:div w:id="929894053">
      <w:bodyDiv w:val="1"/>
      <w:marLeft w:val="0"/>
      <w:marRight w:val="0"/>
      <w:marTop w:val="0"/>
      <w:marBottom w:val="0"/>
      <w:divBdr>
        <w:top w:val="none" w:sz="0" w:space="0" w:color="auto"/>
        <w:left w:val="none" w:sz="0" w:space="0" w:color="auto"/>
        <w:bottom w:val="none" w:sz="0" w:space="0" w:color="auto"/>
        <w:right w:val="none" w:sz="0" w:space="0" w:color="auto"/>
      </w:divBdr>
      <w:divsChild>
        <w:div w:id="1632861158">
          <w:marLeft w:val="547"/>
          <w:marRight w:val="0"/>
          <w:marTop w:val="0"/>
          <w:marBottom w:val="0"/>
          <w:divBdr>
            <w:top w:val="none" w:sz="0" w:space="0" w:color="auto"/>
            <w:left w:val="none" w:sz="0" w:space="0" w:color="auto"/>
            <w:bottom w:val="none" w:sz="0" w:space="0" w:color="auto"/>
            <w:right w:val="none" w:sz="0" w:space="0" w:color="auto"/>
          </w:divBdr>
        </w:div>
        <w:div w:id="1787456477">
          <w:marLeft w:val="547"/>
          <w:marRight w:val="0"/>
          <w:marTop w:val="0"/>
          <w:marBottom w:val="0"/>
          <w:divBdr>
            <w:top w:val="none" w:sz="0" w:space="0" w:color="auto"/>
            <w:left w:val="none" w:sz="0" w:space="0" w:color="auto"/>
            <w:bottom w:val="none" w:sz="0" w:space="0" w:color="auto"/>
            <w:right w:val="none" w:sz="0" w:space="0" w:color="auto"/>
          </w:divBdr>
        </w:div>
      </w:divsChild>
    </w:div>
    <w:div w:id="943733965">
      <w:bodyDiv w:val="1"/>
      <w:marLeft w:val="0"/>
      <w:marRight w:val="0"/>
      <w:marTop w:val="0"/>
      <w:marBottom w:val="0"/>
      <w:divBdr>
        <w:top w:val="none" w:sz="0" w:space="0" w:color="auto"/>
        <w:left w:val="none" w:sz="0" w:space="0" w:color="auto"/>
        <w:bottom w:val="none" w:sz="0" w:space="0" w:color="auto"/>
        <w:right w:val="none" w:sz="0" w:space="0" w:color="auto"/>
      </w:divBdr>
    </w:div>
    <w:div w:id="1085999670">
      <w:bodyDiv w:val="1"/>
      <w:marLeft w:val="0"/>
      <w:marRight w:val="0"/>
      <w:marTop w:val="0"/>
      <w:marBottom w:val="0"/>
      <w:divBdr>
        <w:top w:val="none" w:sz="0" w:space="0" w:color="auto"/>
        <w:left w:val="none" w:sz="0" w:space="0" w:color="auto"/>
        <w:bottom w:val="none" w:sz="0" w:space="0" w:color="auto"/>
        <w:right w:val="none" w:sz="0" w:space="0" w:color="auto"/>
      </w:divBdr>
    </w:div>
    <w:div w:id="1173031456">
      <w:bodyDiv w:val="1"/>
      <w:marLeft w:val="0"/>
      <w:marRight w:val="0"/>
      <w:marTop w:val="0"/>
      <w:marBottom w:val="0"/>
      <w:divBdr>
        <w:top w:val="none" w:sz="0" w:space="0" w:color="auto"/>
        <w:left w:val="none" w:sz="0" w:space="0" w:color="auto"/>
        <w:bottom w:val="none" w:sz="0" w:space="0" w:color="auto"/>
        <w:right w:val="none" w:sz="0" w:space="0" w:color="auto"/>
      </w:divBdr>
      <w:divsChild>
        <w:div w:id="1841312226">
          <w:marLeft w:val="0"/>
          <w:marRight w:val="0"/>
          <w:marTop w:val="0"/>
          <w:marBottom w:val="0"/>
          <w:divBdr>
            <w:top w:val="none" w:sz="0" w:space="0" w:color="auto"/>
            <w:left w:val="none" w:sz="0" w:space="0" w:color="auto"/>
            <w:bottom w:val="none" w:sz="0" w:space="0" w:color="auto"/>
            <w:right w:val="none" w:sz="0" w:space="0" w:color="auto"/>
          </w:divBdr>
          <w:divsChild>
            <w:div w:id="451902312">
              <w:marLeft w:val="0"/>
              <w:marRight w:val="0"/>
              <w:marTop w:val="0"/>
              <w:marBottom w:val="0"/>
              <w:divBdr>
                <w:top w:val="none" w:sz="0" w:space="0" w:color="auto"/>
                <w:left w:val="none" w:sz="0" w:space="0" w:color="auto"/>
                <w:bottom w:val="none" w:sz="0" w:space="0" w:color="auto"/>
                <w:right w:val="none" w:sz="0" w:space="0" w:color="auto"/>
              </w:divBdr>
              <w:divsChild>
                <w:div w:id="16574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4266">
      <w:bodyDiv w:val="1"/>
      <w:marLeft w:val="0"/>
      <w:marRight w:val="0"/>
      <w:marTop w:val="0"/>
      <w:marBottom w:val="0"/>
      <w:divBdr>
        <w:top w:val="none" w:sz="0" w:space="0" w:color="auto"/>
        <w:left w:val="none" w:sz="0" w:space="0" w:color="auto"/>
        <w:bottom w:val="none" w:sz="0" w:space="0" w:color="auto"/>
        <w:right w:val="none" w:sz="0" w:space="0" w:color="auto"/>
      </w:divBdr>
      <w:divsChild>
        <w:div w:id="636574274">
          <w:marLeft w:val="547"/>
          <w:marRight w:val="0"/>
          <w:marTop w:val="0"/>
          <w:marBottom w:val="0"/>
          <w:divBdr>
            <w:top w:val="none" w:sz="0" w:space="0" w:color="auto"/>
            <w:left w:val="none" w:sz="0" w:space="0" w:color="auto"/>
            <w:bottom w:val="none" w:sz="0" w:space="0" w:color="auto"/>
            <w:right w:val="none" w:sz="0" w:space="0" w:color="auto"/>
          </w:divBdr>
        </w:div>
        <w:div w:id="1753358170">
          <w:marLeft w:val="547"/>
          <w:marRight w:val="0"/>
          <w:marTop w:val="0"/>
          <w:marBottom w:val="0"/>
          <w:divBdr>
            <w:top w:val="none" w:sz="0" w:space="0" w:color="auto"/>
            <w:left w:val="none" w:sz="0" w:space="0" w:color="auto"/>
            <w:bottom w:val="none" w:sz="0" w:space="0" w:color="auto"/>
            <w:right w:val="none" w:sz="0" w:space="0" w:color="auto"/>
          </w:divBdr>
        </w:div>
      </w:divsChild>
    </w:div>
    <w:div w:id="1456413820">
      <w:bodyDiv w:val="1"/>
      <w:marLeft w:val="0"/>
      <w:marRight w:val="0"/>
      <w:marTop w:val="0"/>
      <w:marBottom w:val="0"/>
      <w:divBdr>
        <w:top w:val="none" w:sz="0" w:space="0" w:color="auto"/>
        <w:left w:val="none" w:sz="0" w:space="0" w:color="auto"/>
        <w:bottom w:val="none" w:sz="0" w:space="0" w:color="auto"/>
        <w:right w:val="none" w:sz="0" w:space="0" w:color="auto"/>
      </w:divBdr>
      <w:divsChild>
        <w:div w:id="726222358">
          <w:marLeft w:val="547"/>
          <w:marRight w:val="0"/>
          <w:marTop w:val="0"/>
          <w:marBottom w:val="0"/>
          <w:divBdr>
            <w:top w:val="none" w:sz="0" w:space="0" w:color="auto"/>
            <w:left w:val="none" w:sz="0" w:space="0" w:color="auto"/>
            <w:bottom w:val="none" w:sz="0" w:space="0" w:color="auto"/>
            <w:right w:val="none" w:sz="0" w:space="0" w:color="auto"/>
          </w:divBdr>
        </w:div>
      </w:divsChild>
    </w:div>
    <w:div w:id="1472283342">
      <w:bodyDiv w:val="1"/>
      <w:marLeft w:val="0"/>
      <w:marRight w:val="0"/>
      <w:marTop w:val="0"/>
      <w:marBottom w:val="0"/>
      <w:divBdr>
        <w:top w:val="none" w:sz="0" w:space="0" w:color="auto"/>
        <w:left w:val="none" w:sz="0" w:space="0" w:color="auto"/>
        <w:bottom w:val="none" w:sz="0" w:space="0" w:color="auto"/>
        <w:right w:val="none" w:sz="0" w:space="0" w:color="auto"/>
      </w:divBdr>
      <w:divsChild>
        <w:div w:id="1852059864">
          <w:marLeft w:val="547"/>
          <w:marRight w:val="0"/>
          <w:marTop w:val="0"/>
          <w:marBottom w:val="0"/>
          <w:divBdr>
            <w:top w:val="none" w:sz="0" w:space="0" w:color="auto"/>
            <w:left w:val="none" w:sz="0" w:space="0" w:color="auto"/>
            <w:bottom w:val="none" w:sz="0" w:space="0" w:color="auto"/>
            <w:right w:val="none" w:sz="0" w:space="0" w:color="auto"/>
          </w:divBdr>
        </w:div>
      </w:divsChild>
    </w:div>
    <w:div w:id="1478305340">
      <w:bodyDiv w:val="1"/>
      <w:marLeft w:val="0"/>
      <w:marRight w:val="0"/>
      <w:marTop w:val="0"/>
      <w:marBottom w:val="0"/>
      <w:divBdr>
        <w:top w:val="none" w:sz="0" w:space="0" w:color="auto"/>
        <w:left w:val="none" w:sz="0" w:space="0" w:color="auto"/>
        <w:bottom w:val="none" w:sz="0" w:space="0" w:color="auto"/>
        <w:right w:val="none" w:sz="0" w:space="0" w:color="auto"/>
      </w:divBdr>
    </w:div>
    <w:div w:id="1521503100">
      <w:bodyDiv w:val="1"/>
      <w:marLeft w:val="0"/>
      <w:marRight w:val="0"/>
      <w:marTop w:val="0"/>
      <w:marBottom w:val="0"/>
      <w:divBdr>
        <w:top w:val="none" w:sz="0" w:space="0" w:color="auto"/>
        <w:left w:val="none" w:sz="0" w:space="0" w:color="auto"/>
        <w:bottom w:val="none" w:sz="0" w:space="0" w:color="auto"/>
        <w:right w:val="none" w:sz="0" w:space="0" w:color="auto"/>
      </w:divBdr>
      <w:divsChild>
        <w:div w:id="16928543">
          <w:marLeft w:val="547"/>
          <w:marRight w:val="0"/>
          <w:marTop w:val="0"/>
          <w:marBottom w:val="0"/>
          <w:divBdr>
            <w:top w:val="none" w:sz="0" w:space="0" w:color="auto"/>
            <w:left w:val="none" w:sz="0" w:space="0" w:color="auto"/>
            <w:bottom w:val="none" w:sz="0" w:space="0" w:color="auto"/>
            <w:right w:val="none" w:sz="0" w:space="0" w:color="auto"/>
          </w:divBdr>
        </w:div>
        <w:div w:id="65344994">
          <w:marLeft w:val="547"/>
          <w:marRight w:val="0"/>
          <w:marTop w:val="0"/>
          <w:marBottom w:val="0"/>
          <w:divBdr>
            <w:top w:val="none" w:sz="0" w:space="0" w:color="auto"/>
            <w:left w:val="none" w:sz="0" w:space="0" w:color="auto"/>
            <w:bottom w:val="none" w:sz="0" w:space="0" w:color="auto"/>
            <w:right w:val="none" w:sz="0" w:space="0" w:color="auto"/>
          </w:divBdr>
        </w:div>
        <w:div w:id="364330414">
          <w:marLeft w:val="547"/>
          <w:marRight w:val="0"/>
          <w:marTop w:val="0"/>
          <w:marBottom w:val="0"/>
          <w:divBdr>
            <w:top w:val="none" w:sz="0" w:space="0" w:color="auto"/>
            <w:left w:val="none" w:sz="0" w:space="0" w:color="auto"/>
            <w:bottom w:val="none" w:sz="0" w:space="0" w:color="auto"/>
            <w:right w:val="none" w:sz="0" w:space="0" w:color="auto"/>
          </w:divBdr>
        </w:div>
      </w:divsChild>
    </w:div>
    <w:div w:id="1576433950">
      <w:bodyDiv w:val="1"/>
      <w:marLeft w:val="0"/>
      <w:marRight w:val="0"/>
      <w:marTop w:val="0"/>
      <w:marBottom w:val="0"/>
      <w:divBdr>
        <w:top w:val="none" w:sz="0" w:space="0" w:color="auto"/>
        <w:left w:val="none" w:sz="0" w:space="0" w:color="auto"/>
        <w:bottom w:val="none" w:sz="0" w:space="0" w:color="auto"/>
        <w:right w:val="none" w:sz="0" w:space="0" w:color="auto"/>
      </w:divBdr>
    </w:div>
    <w:div w:id="1637687351">
      <w:bodyDiv w:val="1"/>
      <w:marLeft w:val="0"/>
      <w:marRight w:val="0"/>
      <w:marTop w:val="0"/>
      <w:marBottom w:val="0"/>
      <w:divBdr>
        <w:top w:val="none" w:sz="0" w:space="0" w:color="auto"/>
        <w:left w:val="none" w:sz="0" w:space="0" w:color="auto"/>
        <w:bottom w:val="none" w:sz="0" w:space="0" w:color="auto"/>
        <w:right w:val="none" w:sz="0" w:space="0" w:color="auto"/>
      </w:divBdr>
    </w:div>
    <w:div w:id="1773620839">
      <w:bodyDiv w:val="1"/>
      <w:marLeft w:val="0"/>
      <w:marRight w:val="0"/>
      <w:marTop w:val="0"/>
      <w:marBottom w:val="0"/>
      <w:divBdr>
        <w:top w:val="none" w:sz="0" w:space="0" w:color="auto"/>
        <w:left w:val="none" w:sz="0" w:space="0" w:color="auto"/>
        <w:bottom w:val="none" w:sz="0" w:space="0" w:color="auto"/>
        <w:right w:val="none" w:sz="0" w:space="0" w:color="auto"/>
      </w:divBdr>
      <w:divsChild>
        <w:div w:id="377629525">
          <w:marLeft w:val="547"/>
          <w:marRight w:val="0"/>
          <w:marTop w:val="0"/>
          <w:marBottom w:val="0"/>
          <w:divBdr>
            <w:top w:val="none" w:sz="0" w:space="0" w:color="auto"/>
            <w:left w:val="none" w:sz="0" w:space="0" w:color="auto"/>
            <w:bottom w:val="none" w:sz="0" w:space="0" w:color="auto"/>
            <w:right w:val="none" w:sz="0" w:space="0" w:color="auto"/>
          </w:divBdr>
        </w:div>
      </w:divsChild>
    </w:div>
    <w:div w:id="1779983742">
      <w:bodyDiv w:val="1"/>
      <w:marLeft w:val="0"/>
      <w:marRight w:val="0"/>
      <w:marTop w:val="0"/>
      <w:marBottom w:val="0"/>
      <w:divBdr>
        <w:top w:val="none" w:sz="0" w:space="0" w:color="auto"/>
        <w:left w:val="none" w:sz="0" w:space="0" w:color="auto"/>
        <w:bottom w:val="none" w:sz="0" w:space="0" w:color="auto"/>
        <w:right w:val="none" w:sz="0" w:space="0" w:color="auto"/>
      </w:divBdr>
      <w:divsChild>
        <w:div w:id="581527429">
          <w:marLeft w:val="547"/>
          <w:marRight w:val="0"/>
          <w:marTop w:val="0"/>
          <w:marBottom w:val="0"/>
          <w:divBdr>
            <w:top w:val="none" w:sz="0" w:space="0" w:color="auto"/>
            <w:left w:val="none" w:sz="0" w:space="0" w:color="auto"/>
            <w:bottom w:val="none" w:sz="0" w:space="0" w:color="auto"/>
            <w:right w:val="none" w:sz="0" w:space="0" w:color="auto"/>
          </w:divBdr>
        </w:div>
        <w:div w:id="972444470">
          <w:marLeft w:val="547"/>
          <w:marRight w:val="0"/>
          <w:marTop w:val="0"/>
          <w:marBottom w:val="0"/>
          <w:divBdr>
            <w:top w:val="none" w:sz="0" w:space="0" w:color="auto"/>
            <w:left w:val="none" w:sz="0" w:space="0" w:color="auto"/>
            <w:bottom w:val="none" w:sz="0" w:space="0" w:color="auto"/>
            <w:right w:val="none" w:sz="0" w:space="0" w:color="auto"/>
          </w:divBdr>
        </w:div>
      </w:divsChild>
    </w:div>
    <w:div w:id="1997149853">
      <w:bodyDiv w:val="1"/>
      <w:marLeft w:val="0"/>
      <w:marRight w:val="0"/>
      <w:marTop w:val="0"/>
      <w:marBottom w:val="0"/>
      <w:divBdr>
        <w:top w:val="none" w:sz="0" w:space="0" w:color="auto"/>
        <w:left w:val="none" w:sz="0" w:space="0" w:color="auto"/>
        <w:bottom w:val="none" w:sz="0" w:space="0" w:color="auto"/>
        <w:right w:val="none" w:sz="0" w:space="0" w:color="auto"/>
      </w:divBdr>
      <w:divsChild>
        <w:div w:id="1284189530">
          <w:marLeft w:val="547"/>
          <w:marRight w:val="0"/>
          <w:marTop w:val="0"/>
          <w:marBottom w:val="0"/>
          <w:divBdr>
            <w:top w:val="none" w:sz="0" w:space="0" w:color="auto"/>
            <w:left w:val="none" w:sz="0" w:space="0" w:color="auto"/>
            <w:bottom w:val="none" w:sz="0" w:space="0" w:color="auto"/>
            <w:right w:val="none" w:sz="0" w:space="0" w:color="auto"/>
          </w:divBdr>
        </w:div>
        <w:div w:id="320159816">
          <w:marLeft w:val="547"/>
          <w:marRight w:val="0"/>
          <w:marTop w:val="0"/>
          <w:marBottom w:val="0"/>
          <w:divBdr>
            <w:top w:val="none" w:sz="0" w:space="0" w:color="auto"/>
            <w:left w:val="none" w:sz="0" w:space="0" w:color="auto"/>
            <w:bottom w:val="none" w:sz="0" w:space="0" w:color="auto"/>
            <w:right w:val="none" w:sz="0" w:space="0" w:color="auto"/>
          </w:divBdr>
        </w:div>
        <w:div w:id="695156667">
          <w:marLeft w:val="1166"/>
          <w:marRight w:val="0"/>
          <w:marTop w:val="0"/>
          <w:marBottom w:val="0"/>
          <w:divBdr>
            <w:top w:val="none" w:sz="0" w:space="0" w:color="auto"/>
            <w:left w:val="none" w:sz="0" w:space="0" w:color="auto"/>
            <w:bottom w:val="none" w:sz="0" w:space="0" w:color="auto"/>
            <w:right w:val="none" w:sz="0" w:space="0" w:color="auto"/>
          </w:divBdr>
        </w:div>
        <w:div w:id="1670794382">
          <w:marLeft w:val="1166"/>
          <w:marRight w:val="0"/>
          <w:marTop w:val="0"/>
          <w:marBottom w:val="0"/>
          <w:divBdr>
            <w:top w:val="none" w:sz="0" w:space="0" w:color="auto"/>
            <w:left w:val="none" w:sz="0" w:space="0" w:color="auto"/>
            <w:bottom w:val="none" w:sz="0" w:space="0" w:color="auto"/>
            <w:right w:val="none" w:sz="0" w:space="0" w:color="auto"/>
          </w:divBdr>
        </w:div>
        <w:div w:id="797450906">
          <w:marLeft w:val="1166"/>
          <w:marRight w:val="0"/>
          <w:marTop w:val="0"/>
          <w:marBottom w:val="0"/>
          <w:divBdr>
            <w:top w:val="none" w:sz="0" w:space="0" w:color="auto"/>
            <w:left w:val="none" w:sz="0" w:space="0" w:color="auto"/>
            <w:bottom w:val="none" w:sz="0" w:space="0" w:color="auto"/>
            <w:right w:val="none" w:sz="0" w:space="0" w:color="auto"/>
          </w:divBdr>
        </w:div>
      </w:divsChild>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bitre.gov.au/publications/2017/yearbook_2017.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RD%20Simp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23C22BE0-4E51-40D6-A27F-31F2B2B2ECCC" xsi:nil="true"/>
    <pdms_DocumentType xmlns="23C22BE0-4E51-40D6-A27F-31F2B2B2ECCC" xsi:nil="true"/>
    <pdms_SecurityClassification xmlns="23C22BE0-4E51-40D6-A27F-31F2B2B2ECCC" xsi:nil="true"/>
    <pdms_Reason xmlns="23C22BE0-4E51-40D6-A27F-31F2B2B2ECCC" xsi:nil="true"/>
    <pdms_AttachedBy xmlns="23C22BE0-4E51-40D6-A27F-31F2B2B2EC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92B8F14707B1D42B93BAD2A700113CA" ma:contentTypeVersion="" ma:contentTypeDescription="PDMS Documentation Content Type" ma:contentTypeScope="" ma:versionID="f2ce0008437c5c24d89ad353a1cf0695">
  <xsd:schema xmlns:xsd="http://www.w3.org/2001/XMLSchema" xmlns:xs="http://www.w3.org/2001/XMLSchema" xmlns:p="http://schemas.microsoft.com/office/2006/metadata/properties" xmlns:ns2="23C22BE0-4E51-40D6-A27F-31F2B2B2ECCC" targetNamespace="http://schemas.microsoft.com/office/2006/metadata/properties" ma:root="true" ma:fieldsID="0babf70df82afc6f752c57180d9d7972" ns2:_="">
    <xsd:import namespace="23C22BE0-4E51-40D6-A27F-31F2B2B2ECCC"/>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C22BE0-4E51-40D6-A27F-31F2B2B2ECC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schemas.microsoft.com/office/2006/metadata/properties"/>
    <ds:schemaRef ds:uri="http://schemas.microsoft.com/office/infopath/2007/PartnerControls"/>
    <ds:schemaRef ds:uri="23C22BE0-4E51-40D6-A27F-31F2B2B2ECCC"/>
  </ds:schemaRefs>
</ds:datastoreItem>
</file>

<file path=customXml/itemProps2.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3.xml><?xml version="1.0" encoding="utf-8"?>
<ds:datastoreItem xmlns:ds="http://schemas.openxmlformats.org/officeDocument/2006/customXml" ds:itemID="{52AA1B2D-D9DB-4B9A-9897-76ABF5755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C22BE0-4E51-40D6-A27F-31F2B2B2E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3E7495-4CE2-4825-AC3A-49121AEDE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DoIRD Simple Template</Template>
  <TotalTime>0</TotalTime>
  <Pages>3</Pages>
  <Words>2979</Words>
  <Characters>16985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Department template</vt:lpstr>
    </vt:vector>
  </TitlesOfParts>
  <Company>Department of Infrastructure and Regional Development</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template</dc:title>
  <dc:subject>A4 Template</dc:subject>
  <dc:creator>Davis Rachael</dc:creator>
  <cp:lastModifiedBy>Katie Pawlik</cp:lastModifiedBy>
  <cp:revision>2</cp:revision>
  <cp:lastPrinted>2018-06-25T03:41:00Z</cp:lastPrinted>
  <dcterms:created xsi:type="dcterms:W3CDTF">2019-08-23T02:00:00Z</dcterms:created>
  <dcterms:modified xsi:type="dcterms:W3CDTF">2019-08-23T02:00:00Z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0x010100266966F133664895A6EE3632470D45F50100292B8F14707B1D42B93BAD2A700113CA</vt:lpwstr>
  </property>
  <property fmtid="{D5CDD505-2E9C-101B-9397-08002B2CF9AE}" pid="3" name="Internal Review Date">
    <vt:lpwstr>2014-03-19T12:09:51Z</vt:lpwstr>
  </property>
</Properties>
</file>